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_GBK" w:cs="方正小标宋_GBK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云南省发展和改革委员会关于进一步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spacing w:val="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方正小标宋_GBK" w:cs="方正小标宋_GBK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完善分时电价政策的通知</w:t>
      </w:r>
    </w:p>
    <w:bookmarkEnd w:id="0"/>
    <w:p>
      <w:pPr>
        <w:pStyle w:val="2"/>
        <w:autoSpaceDE w:val="0"/>
        <w:adjustRightInd/>
        <w:snapToGrid/>
        <w:spacing w:after="0" w:line="600" w:lineRule="exact"/>
        <w:ind w:firstLine="0" w:firstLineChars="0"/>
        <w:jc w:val="center"/>
        <w:rPr>
          <w:rFonts w:hint="eastAsia" w:ascii="宋体" w:hAnsi="宋体" w:eastAsia="方正楷体_GBK" w:cs="方正楷体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宋体" w:hAnsi="宋体" w:eastAsia="方正楷体_GBK" w:cs="方正楷体_GBK"/>
          <w:color w:val="000000"/>
          <w:spacing w:val="0"/>
          <w:kern w:val="0"/>
          <w:sz w:val="32"/>
          <w:szCs w:val="32"/>
          <w:highlight w:val="none"/>
          <w:lang w:val="en" w:eastAsia="zh-CN"/>
        </w:rPr>
        <w:t>征求意见稿</w:t>
      </w:r>
      <w:r>
        <w:rPr>
          <w:rFonts w:hint="eastAsia" w:ascii="宋体" w:hAnsi="宋体" w:eastAsia="方正楷体_GBK" w:cs="方正楷体_GBK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autoSpaceDE w:val="0"/>
        <w:adjustRightInd/>
        <w:snapToGrid/>
        <w:spacing w:after="0" w:line="600" w:lineRule="exact"/>
        <w:ind w:firstLine="640" w:firstLineChars="200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各州（市）发展改革委，云南电网有限责任公司、各地方电网企业、增量配电网企业、昆明电力交易中心、有关电力用户：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为适应云南省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</w:rPr>
        <w:t>新能源装机占比不断加大，对系统调节能力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要求更高的新形势，充分发挥分时电价信号作用，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</w:rPr>
        <w:t>更好引导用户削峰填谷、改善电力供需状况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，服务新型电力系统建设，促进能源绿色低碳发展。根据《国家发展改革委关于进一步完善分时电价机制的通知》（发改价格〔2021〕1093号）要求，现就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进一步完善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云南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</w:rPr>
        <w:t>省分时电价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政策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</w:rPr>
        <w:t>有关事项通知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</w:rPr>
        <w:t>一、</w:t>
      </w: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</w:rPr>
        <w:t>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除国家有专门规定的电气化铁路（含地铁）牵引用电外，所有大工业用户和用电容量在100千伏安及以上的一般工商业用户均执行分时电价。</w:t>
      </w:r>
      <w:r>
        <w:rPr>
          <w:rFonts w:hint="default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居民和农业用电不执行分时电价，居民充电桩分时电价另文明确。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二、峰谷电价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（一）时段划分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峰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平谷时段各8小时：高峰时段9:00—12:00、17:00—22:00；平时段7:00—9:00、12:00—17:00、22：00—23：00；低谷时段23:00—次日7:00。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浮动比例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分时电价以各电力用户市场化交易价格（代理购电用户以代理购电价格）为基准进行浮动。高</w:t>
      </w:r>
      <w:r>
        <w:rPr>
          <w:rFonts w:hint="eastAsia" w:ascii="宋体" w:hAnsi="宋体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峰、平时、低谷时段电价比为1.5</w:t>
      </w:r>
      <w:r>
        <w:rPr>
          <w:rFonts w:hint="eastAsia" w:ascii="宋体" w:hAnsi="宋体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:</w:t>
      </w:r>
      <w:r>
        <w:rPr>
          <w:rFonts w:hint="eastAsia" w:ascii="宋体" w:hAnsi="宋体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宋体" w:hAnsi="宋体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:</w:t>
      </w:r>
      <w:r>
        <w:rPr>
          <w:rFonts w:hint="eastAsia" w:ascii="宋体" w:hAnsi="宋体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0.5，即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高峰时段电价以平时段电价为基础上浮50%，低谷时段电价以平时段电价为基础下浮50%。输配电价（含线损）、系统运行费用和政府性基金及附加不参与浮动。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</w:rPr>
        <w:t>尖峰电价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（一）尖峰时段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1月、3月、4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" w:eastAsia="zh-CN"/>
        </w:rPr>
        <w:t>月、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12月的每日10:30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1:30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、1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7:30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8:30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共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2个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小时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执行尖峰电价，每年根据电力供需形势实时调整。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（二）浮动比例</w:t>
      </w:r>
    </w:p>
    <w:p>
      <w:pPr>
        <w:pStyle w:val="2"/>
        <w:numPr>
          <w:ilvl w:val="0"/>
          <w:numId w:val="0"/>
        </w:numPr>
        <w:autoSpaceDE w:val="0"/>
        <w:adjustRightInd/>
        <w:snapToGrid/>
        <w:spacing w:after="0" w:line="600" w:lineRule="exact"/>
        <w:ind w:firstLine="640" w:firstLineChars="200"/>
        <w:rPr>
          <w:rFonts w:hint="eastAsia" w:ascii="宋体" w:hAnsi="宋体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尖峰时段电价水平在本月高峰时段电价基础上上浮20%。</w:t>
      </w:r>
      <w:r>
        <w:rPr>
          <w:rFonts w:hint="eastAsia" w:ascii="宋体" w:hAnsi="宋体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根据云南省能源局和云南电网公司对迎峰度夏、迎峰度冬期间电力供需状况的研判，尖峰电价可在高峰时段电价基础上上浮</w:t>
      </w:r>
      <w:r>
        <w:rPr>
          <w:rFonts w:hint="eastAsia" w:ascii="宋体" w:hAnsi="宋体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比例原则上不低于30%</w:t>
      </w:r>
      <w:r>
        <w:rPr>
          <w:rFonts w:hint="eastAsia" w:ascii="宋体" w:hAnsi="宋体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2"/>
        <w:numPr>
          <w:ilvl w:val="0"/>
          <w:numId w:val="0"/>
        </w:numPr>
        <w:autoSpaceDE w:val="0"/>
        <w:adjustRightInd/>
        <w:snapToGrid/>
        <w:spacing w:after="0" w:line="600" w:lineRule="exact"/>
        <w:ind w:firstLine="640" w:firstLineChars="200"/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</w:rPr>
        <w:t>、其他</w:t>
      </w: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（一）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执行峰谷电价形成的资金损益，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由执行分时电价的工商业用户分摊（分享），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云南电网公司要单独归集、单独反映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并按月清算。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尖峰电价资金优先用于平衡电力尖峰资金需求，剩余部分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由执行分时电价的工商业用户分享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。云南电网公司于次年3月底前将上年度执行情况报送省发展改革委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地方电网和增量配电网分时电价政策的执行范围、时段划分及浮动水平按照本通知执行。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各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州（市）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发展改革部门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、电网企业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和增量配电网企业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要精心组织，周密部署，采取多种方式告知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有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关用户并进行政策解读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，争取各方理解支持，确保政策平稳落地。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省发展改革委将会同省能源局，根据电力供需状况、系统峰谷特性、新能源消纳等情况，评估执行效果，加强分析研判，对分时电价机制进行动态调整。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（五）电网企业应加快表计升级更换，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确保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具备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全面执行分时电价政策的条件，同时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密切监测</w:t>
      </w:r>
      <w:r>
        <w:rPr>
          <w:rFonts w:hint="eastAsia" w:ascii="宋体" w:hAnsi="宋体" w:eastAsia="方正仿宋_GBK" w:cs="方正仿宋_GBK"/>
          <w:kern w:val="0"/>
          <w:sz w:val="32"/>
          <w:szCs w:val="32"/>
          <w:highlight w:val="none"/>
          <w:lang w:val="en" w:eastAsia="zh-CN"/>
        </w:rPr>
        <w:t>省内用电负荷变化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，如</w:t>
      </w:r>
      <w:r>
        <w:rPr>
          <w:rFonts w:hint="eastAsia" w:ascii="宋体" w:hAnsi="宋体" w:eastAsia="方正仿宋_GBK" w:cs="方正仿宋_GBK"/>
          <w:kern w:val="0"/>
          <w:sz w:val="32"/>
          <w:szCs w:val="32"/>
          <w:highlight w:val="none"/>
          <w:lang w:val="en" w:eastAsia="zh-CN"/>
        </w:rPr>
        <w:t>用电负荷出现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重大调整或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执行中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存在其他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问题，及时报告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省发展改革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委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本通知自2024年1月1日起执行。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现行政策与本通知不符的，以本通知规定为准。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F2E71"/>
    <w:rsid w:val="01C516A1"/>
    <w:rsid w:val="0238044C"/>
    <w:rsid w:val="047258C7"/>
    <w:rsid w:val="05CE62E0"/>
    <w:rsid w:val="064177AA"/>
    <w:rsid w:val="07EA30E9"/>
    <w:rsid w:val="0835792E"/>
    <w:rsid w:val="08F66710"/>
    <w:rsid w:val="0A4B2F82"/>
    <w:rsid w:val="0A7656FA"/>
    <w:rsid w:val="0AFE4899"/>
    <w:rsid w:val="0C062C2F"/>
    <w:rsid w:val="0FA64FE5"/>
    <w:rsid w:val="0FAE0C91"/>
    <w:rsid w:val="11B470B1"/>
    <w:rsid w:val="13C23B0B"/>
    <w:rsid w:val="13C61ACD"/>
    <w:rsid w:val="151C3799"/>
    <w:rsid w:val="1763307A"/>
    <w:rsid w:val="17BB34D4"/>
    <w:rsid w:val="19480231"/>
    <w:rsid w:val="1A174258"/>
    <w:rsid w:val="1A2F63A2"/>
    <w:rsid w:val="1C523383"/>
    <w:rsid w:val="1D6051C9"/>
    <w:rsid w:val="1FE364A4"/>
    <w:rsid w:val="20316DB2"/>
    <w:rsid w:val="216B7714"/>
    <w:rsid w:val="22E846E5"/>
    <w:rsid w:val="23116F6F"/>
    <w:rsid w:val="24175CD2"/>
    <w:rsid w:val="24627D0E"/>
    <w:rsid w:val="255A40F4"/>
    <w:rsid w:val="25801D6A"/>
    <w:rsid w:val="267F7337"/>
    <w:rsid w:val="27537CDA"/>
    <w:rsid w:val="2C180B8D"/>
    <w:rsid w:val="2D566398"/>
    <w:rsid w:val="2E254D46"/>
    <w:rsid w:val="2E53226B"/>
    <w:rsid w:val="30301667"/>
    <w:rsid w:val="31AE3DFF"/>
    <w:rsid w:val="31E60784"/>
    <w:rsid w:val="33005EB6"/>
    <w:rsid w:val="33D61D32"/>
    <w:rsid w:val="350A0C28"/>
    <w:rsid w:val="3652650B"/>
    <w:rsid w:val="39305C77"/>
    <w:rsid w:val="3CFC1F8D"/>
    <w:rsid w:val="3D9C7583"/>
    <w:rsid w:val="43C01E88"/>
    <w:rsid w:val="49AC60B3"/>
    <w:rsid w:val="4AD14662"/>
    <w:rsid w:val="4C141812"/>
    <w:rsid w:val="4C716858"/>
    <w:rsid w:val="4EC975B3"/>
    <w:rsid w:val="50AE71B1"/>
    <w:rsid w:val="518F2F8C"/>
    <w:rsid w:val="51B07FF9"/>
    <w:rsid w:val="52FF05BB"/>
    <w:rsid w:val="539360C0"/>
    <w:rsid w:val="558651B1"/>
    <w:rsid w:val="56677E1F"/>
    <w:rsid w:val="586C56F4"/>
    <w:rsid w:val="58ED5B81"/>
    <w:rsid w:val="59490913"/>
    <w:rsid w:val="5950093A"/>
    <w:rsid w:val="59D021AA"/>
    <w:rsid w:val="5A7305E7"/>
    <w:rsid w:val="5B9D1953"/>
    <w:rsid w:val="5C6B6CFA"/>
    <w:rsid w:val="5CD57B3A"/>
    <w:rsid w:val="5FC01ED7"/>
    <w:rsid w:val="621D7858"/>
    <w:rsid w:val="62963BFD"/>
    <w:rsid w:val="62C371D1"/>
    <w:rsid w:val="645C2D80"/>
    <w:rsid w:val="6500002F"/>
    <w:rsid w:val="652C04A2"/>
    <w:rsid w:val="68C41083"/>
    <w:rsid w:val="68F46907"/>
    <w:rsid w:val="6956490A"/>
    <w:rsid w:val="6C1E4A4F"/>
    <w:rsid w:val="6CA47842"/>
    <w:rsid w:val="705B4861"/>
    <w:rsid w:val="73BC7A86"/>
    <w:rsid w:val="73BE1C74"/>
    <w:rsid w:val="74CF2E71"/>
    <w:rsid w:val="75153AFB"/>
    <w:rsid w:val="779459B3"/>
    <w:rsid w:val="78004B75"/>
    <w:rsid w:val="78BE5468"/>
    <w:rsid w:val="7BF475C6"/>
    <w:rsid w:val="7C754207"/>
    <w:rsid w:val="7D296A53"/>
    <w:rsid w:val="7F454217"/>
    <w:rsid w:val="7FD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djustRightInd w:val="0"/>
      <w:snapToGrid w:val="0"/>
      <w:spacing w:after="120"/>
    </w:pPr>
    <w:rPr>
      <w:rFonts w:eastAsia="仿宋"/>
      <w:sz w:val="28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customStyle="1" w:styleId="6">
    <w:name w:val="Body Text First Indent 21"/>
    <w:basedOn w:val="1"/>
    <w:qFormat/>
    <w:uiPriority w:val="0"/>
    <w:pPr>
      <w:ind w:firstLine="42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2023-09-18T08:52:00Z</dcterms:created>
  <dc:creator>微信用户</dc:creator>
  <cp:lastModifiedBy>微信用户</cp:lastModifiedBy>
  <dcterms:modified xsi:type="dcterms:W3CDTF">2023-09-18T08:52:53Z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