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1D" w:rsidRDefault="006C011D" w:rsidP="006C011D">
      <w:pPr>
        <w:autoSpaceDE w:val="0"/>
        <w:spacing w:line="58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6C011D" w:rsidRDefault="006C011D" w:rsidP="006C011D">
      <w:pPr>
        <w:autoSpaceDE w:val="0"/>
        <w:spacing w:line="58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</w:p>
    <w:p w:rsidR="006C011D" w:rsidRDefault="006C011D" w:rsidP="006C011D">
      <w:pPr>
        <w:autoSpaceDE w:val="0"/>
        <w:spacing w:line="58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第二轮中央生态环境保护督察</w:t>
      </w:r>
    </w:p>
    <w:p w:rsidR="006C011D" w:rsidRDefault="006C011D" w:rsidP="006C011D">
      <w:pPr>
        <w:autoSpaceDE w:val="0"/>
        <w:spacing w:line="58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第9项整改任务完成情况表</w:t>
      </w:r>
    </w:p>
    <w:p w:rsidR="006C011D" w:rsidRDefault="006C011D" w:rsidP="006C011D">
      <w:pPr>
        <w:autoSpaceDE w:val="0"/>
        <w:spacing w:line="580" w:lineRule="exact"/>
        <w:jc w:val="center"/>
        <w:rPr>
          <w:rFonts w:ascii="方正小标宋简体" w:eastAsia="方正小标宋简体" w:hAnsi="方正小标宋简体" w:hint="eastAsia"/>
        </w:rPr>
      </w:pPr>
      <w:r>
        <w:rPr>
          <w:rFonts w:ascii="方正小标宋简体" w:eastAsia="方正小标宋简体" w:hAnsi="方正小标宋简体" w:hint="eastAsia"/>
        </w:rPr>
        <w:t xml:space="preserve"> </w:t>
      </w:r>
    </w:p>
    <w:tbl>
      <w:tblPr>
        <w:tblW w:w="939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1"/>
        <w:gridCol w:w="7913"/>
      </w:tblGrid>
      <w:tr w:rsidR="006C011D" w:rsidTr="006C011D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D" w:rsidRDefault="006C011D"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center"/>
              <w:rPr>
                <w:rFonts w:ascii="方正仿宋_GBK" w:hAnsi="方正仿宋_GBK" w:hint="eastAsia"/>
                <w:sz w:val="22"/>
                <w:szCs w:val="22"/>
              </w:rPr>
            </w:pPr>
            <w:r>
              <w:rPr>
                <w:rFonts w:ascii="方正仿宋_GBK" w:hAnsi="方正仿宋_GBK"/>
                <w:sz w:val="22"/>
                <w:szCs w:val="22"/>
              </w:rPr>
              <w:t>整改任务</w:t>
            </w:r>
          </w:p>
          <w:p w:rsidR="006C011D" w:rsidRDefault="006C011D"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left"/>
              <w:rPr>
                <w:rFonts w:ascii="方正仿宋_GBK" w:hAnsi="方正仿宋_GBK"/>
                <w:sz w:val="22"/>
                <w:szCs w:val="22"/>
              </w:rPr>
            </w:pPr>
            <w:r>
              <w:rPr>
                <w:rFonts w:ascii="方正仿宋_GBK" w:hAnsi="方正仿宋_GBK"/>
                <w:b/>
                <w:bCs/>
                <w:sz w:val="22"/>
                <w:szCs w:val="22"/>
              </w:rPr>
              <w:t>第二轮中央生态环境保护督察第</w:t>
            </w:r>
            <w:r>
              <w:rPr>
                <w:rFonts w:ascii="方正仿宋_GBK" w:hAnsi="方正仿宋_GBK"/>
                <w:b/>
                <w:bCs/>
                <w:sz w:val="22"/>
                <w:szCs w:val="22"/>
              </w:rPr>
              <w:t>9</w:t>
            </w:r>
            <w:r>
              <w:rPr>
                <w:rFonts w:ascii="方正仿宋_GBK" w:hAnsi="方正仿宋_GBK"/>
                <w:b/>
                <w:bCs/>
                <w:sz w:val="22"/>
                <w:szCs w:val="22"/>
              </w:rPr>
              <w:t>项整改任务：</w:t>
            </w:r>
            <w:r>
              <w:rPr>
                <w:rFonts w:ascii="方正仿宋_GBK" w:hAnsi="方正仿宋_GBK"/>
                <w:sz w:val="22"/>
                <w:szCs w:val="22"/>
              </w:rPr>
              <w:t>未批先建、违规审批问题多发。</w:t>
            </w:r>
            <w:r>
              <w:rPr>
                <w:rFonts w:ascii="方正仿宋_GBK" w:hAnsi="方正仿宋_GBK"/>
                <w:sz w:val="22"/>
                <w:szCs w:val="22"/>
              </w:rPr>
              <w:t>2018</w:t>
            </w:r>
            <w:r>
              <w:rPr>
                <w:rFonts w:ascii="方正仿宋_GBK" w:hAnsi="方正仿宋_GBK"/>
                <w:sz w:val="22"/>
                <w:szCs w:val="22"/>
              </w:rPr>
              <w:t>年以来，自治区未经节能审查违规建设的</w:t>
            </w:r>
            <w:r>
              <w:rPr>
                <w:rFonts w:ascii="方正仿宋_GBK" w:hAnsi="方正仿宋_GBK"/>
                <w:sz w:val="22"/>
                <w:szCs w:val="22"/>
              </w:rPr>
              <w:t>“</w:t>
            </w:r>
            <w:r>
              <w:rPr>
                <w:rFonts w:ascii="方正仿宋_GBK" w:hAnsi="方正仿宋_GBK"/>
                <w:sz w:val="22"/>
                <w:szCs w:val="22"/>
              </w:rPr>
              <w:t>两高</w:t>
            </w:r>
            <w:r>
              <w:rPr>
                <w:rFonts w:ascii="方正仿宋_GBK" w:hAnsi="方正仿宋_GBK"/>
                <w:sz w:val="22"/>
                <w:szCs w:val="22"/>
              </w:rPr>
              <w:t>”</w:t>
            </w:r>
            <w:r>
              <w:rPr>
                <w:rFonts w:ascii="方正仿宋_GBK" w:hAnsi="方正仿宋_GBK"/>
                <w:sz w:val="22"/>
                <w:szCs w:val="22"/>
              </w:rPr>
              <w:t>项目多达</w:t>
            </w:r>
            <w:r>
              <w:rPr>
                <w:rFonts w:ascii="方正仿宋_GBK" w:hAnsi="方正仿宋_GBK"/>
                <w:sz w:val="22"/>
                <w:szCs w:val="22"/>
              </w:rPr>
              <w:t>42</w:t>
            </w:r>
            <w:r>
              <w:rPr>
                <w:rFonts w:ascii="方正仿宋_GBK" w:hAnsi="方正仿宋_GBK"/>
                <w:sz w:val="22"/>
                <w:szCs w:val="22"/>
              </w:rPr>
              <w:t>个，盟市、旗县工业和信息化部门</w:t>
            </w:r>
            <w:r>
              <w:rPr>
                <w:rFonts w:ascii="方正仿宋_GBK" w:hAnsi="方正仿宋_GBK"/>
                <w:sz w:val="22"/>
                <w:szCs w:val="22"/>
              </w:rPr>
              <w:t>2017</w:t>
            </w:r>
            <w:r>
              <w:rPr>
                <w:rFonts w:ascii="方正仿宋_GBK" w:hAnsi="方正仿宋_GBK"/>
                <w:sz w:val="22"/>
                <w:szCs w:val="22"/>
              </w:rPr>
              <w:t>年以来越权为</w:t>
            </w:r>
            <w:r>
              <w:rPr>
                <w:rFonts w:ascii="方正仿宋_GBK" w:hAnsi="方正仿宋_GBK"/>
                <w:sz w:val="22"/>
                <w:szCs w:val="22"/>
              </w:rPr>
              <w:t>32</w:t>
            </w:r>
            <w:r>
              <w:rPr>
                <w:rFonts w:ascii="方正仿宋_GBK" w:hAnsi="方正仿宋_GBK"/>
                <w:sz w:val="22"/>
                <w:szCs w:val="22"/>
              </w:rPr>
              <w:t>个</w:t>
            </w:r>
            <w:r>
              <w:rPr>
                <w:rFonts w:ascii="方正仿宋_GBK" w:hAnsi="方正仿宋_GBK"/>
                <w:sz w:val="22"/>
                <w:szCs w:val="22"/>
              </w:rPr>
              <w:t>“</w:t>
            </w:r>
            <w:r>
              <w:rPr>
                <w:rFonts w:ascii="方正仿宋_GBK" w:hAnsi="方正仿宋_GBK"/>
                <w:sz w:val="22"/>
                <w:szCs w:val="22"/>
              </w:rPr>
              <w:t>两高</w:t>
            </w:r>
            <w:r>
              <w:rPr>
                <w:rFonts w:ascii="方正仿宋_GBK" w:hAnsi="方正仿宋_GBK"/>
                <w:sz w:val="22"/>
                <w:szCs w:val="22"/>
              </w:rPr>
              <w:t>”</w:t>
            </w:r>
            <w:r>
              <w:rPr>
                <w:rFonts w:ascii="方正仿宋_GBK" w:hAnsi="方正仿宋_GBK"/>
                <w:sz w:val="22"/>
                <w:szCs w:val="22"/>
              </w:rPr>
              <w:t>项目出具节能审查意见。其中乌兰察布市未批先建</w:t>
            </w:r>
            <w:r>
              <w:rPr>
                <w:rFonts w:ascii="方正仿宋_GBK" w:hAnsi="方正仿宋_GBK"/>
                <w:sz w:val="22"/>
                <w:szCs w:val="22"/>
              </w:rPr>
              <w:t>18</w:t>
            </w:r>
            <w:r>
              <w:rPr>
                <w:rFonts w:ascii="方正仿宋_GBK" w:hAnsi="方正仿宋_GBK"/>
                <w:sz w:val="22"/>
                <w:szCs w:val="22"/>
              </w:rPr>
              <w:t>个项目、越权审批</w:t>
            </w:r>
            <w:r>
              <w:rPr>
                <w:rFonts w:ascii="方正仿宋_GBK" w:hAnsi="方正仿宋_GBK"/>
                <w:sz w:val="22"/>
                <w:szCs w:val="22"/>
              </w:rPr>
              <w:t>20</w:t>
            </w:r>
            <w:r>
              <w:rPr>
                <w:rFonts w:ascii="方正仿宋_GBK" w:hAnsi="方正仿宋_GBK"/>
                <w:sz w:val="22"/>
                <w:szCs w:val="22"/>
              </w:rPr>
              <w:t>个项目。自治区工业和信息化部门把关不严，在乌兰察布、鄂尔多斯、阿拉善等盟市能耗强度控制不力的情况下，</w:t>
            </w:r>
            <w:r>
              <w:rPr>
                <w:rFonts w:ascii="方正仿宋_GBK" w:hAnsi="方正仿宋_GBK"/>
                <w:sz w:val="22"/>
                <w:szCs w:val="22"/>
              </w:rPr>
              <w:t>2018</w:t>
            </w:r>
            <w:r>
              <w:rPr>
                <w:rFonts w:ascii="方正仿宋_GBK" w:hAnsi="方正仿宋_GBK"/>
                <w:sz w:val="22"/>
                <w:szCs w:val="22"/>
              </w:rPr>
              <w:t>年至</w:t>
            </w:r>
            <w:r>
              <w:rPr>
                <w:rFonts w:ascii="方正仿宋_GBK" w:hAnsi="方正仿宋_GBK"/>
                <w:sz w:val="22"/>
                <w:szCs w:val="22"/>
              </w:rPr>
              <w:t>2020</w:t>
            </w:r>
            <w:r>
              <w:rPr>
                <w:rFonts w:ascii="方正仿宋_GBK" w:hAnsi="方正仿宋_GBK"/>
                <w:sz w:val="22"/>
                <w:szCs w:val="22"/>
              </w:rPr>
              <w:t>年仍继续审批以上盟市合计</w:t>
            </w:r>
            <w:r>
              <w:rPr>
                <w:rFonts w:ascii="方正仿宋_GBK" w:hAnsi="方正仿宋_GBK"/>
                <w:sz w:val="22"/>
                <w:szCs w:val="22"/>
              </w:rPr>
              <w:t>20</w:t>
            </w:r>
            <w:r>
              <w:rPr>
                <w:rFonts w:ascii="方正仿宋_GBK" w:hAnsi="方正仿宋_GBK"/>
                <w:sz w:val="22"/>
                <w:szCs w:val="22"/>
              </w:rPr>
              <w:t>个</w:t>
            </w:r>
            <w:r>
              <w:rPr>
                <w:rFonts w:ascii="方正仿宋_GBK" w:hAnsi="方正仿宋_GBK"/>
                <w:sz w:val="22"/>
                <w:szCs w:val="22"/>
              </w:rPr>
              <w:t>“</w:t>
            </w:r>
            <w:r>
              <w:rPr>
                <w:rFonts w:ascii="方正仿宋_GBK" w:hAnsi="方正仿宋_GBK"/>
                <w:sz w:val="22"/>
                <w:szCs w:val="22"/>
              </w:rPr>
              <w:t>两高</w:t>
            </w:r>
            <w:r>
              <w:rPr>
                <w:rFonts w:ascii="方正仿宋_GBK" w:hAnsi="方正仿宋_GBK"/>
                <w:sz w:val="22"/>
                <w:szCs w:val="22"/>
              </w:rPr>
              <w:t>”</w:t>
            </w:r>
            <w:r>
              <w:rPr>
                <w:rFonts w:ascii="方正仿宋_GBK" w:hAnsi="方正仿宋_GBK"/>
                <w:sz w:val="22"/>
                <w:szCs w:val="22"/>
              </w:rPr>
              <w:t>项目的能评报告。</w:t>
            </w:r>
          </w:p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left"/>
              <w:rPr>
                <w:rFonts w:ascii="方正仿宋_GBK" w:hAnsi="方正仿宋_GBK"/>
                <w:sz w:val="22"/>
                <w:szCs w:val="22"/>
              </w:rPr>
            </w:pPr>
            <w:r>
              <w:rPr>
                <w:rFonts w:ascii="方正仿宋_GBK" w:hAnsi="方正仿宋_GBK"/>
                <w:b/>
                <w:bCs/>
                <w:sz w:val="22"/>
                <w:szCs w:val="22"/>
              </w:rPr>
              <w:t>呼伦贝尔市：</w:t>
            </w:r>
            <w:r>
              <w:rPr>
                <w:rFonts w:ascii="方正仿宋_GBK" w:hAnsi="方正仿宋_GBK"/>
                <w:sz w:val="22"/>
                <w:szCs w:val="22"/>
              </w:rPr>
              <w:t>涉及自治区工业和信息化部门把关不严的</w:t>
            </w:r>
            <w:r>
              <w:rPr>
                <w:rFonts w:ascii="方正仿宋_GBK" w:hAnsi="方正仿宋_GBK"/>
                <w:sz w:val="22"/>
                <w:szCs w:val="22"/>
              </w:rPr>
              <w:t>20</w:t>
            </w:r>
            <w:r>
              <w:rPr>
                <w:rFonts w:ascii="方正仿宋_GBK" w:hAnsi="方正仿宋_GBK"/>
                <w:sz w:val="22"/>
                <w:szCs w:val="22"/>
              </w:rPr>
              <w:t>个</w:t>
            </w:r>
            <w:r>
              <w:rPr>
                <w:rFonts w:ascii="方正仿宋_GBK" w:hAnsi="方正仿宋_GBK"/>
                <w:sz w:val="22"/>
                <w:szCs w:val="22"/>
              </w:rPr>
              <w:t>“</w:t>
            </w:r>
            <w:r>
              <w:rPr>
                <w:rFonts w:ascii="方正仿宋_GBK" w:hAnsi="方正仿宋_GBK"/>
                <w:sz w:val="22"/>
                <w:szCs w:val="22"/>
              </w:rPr>
              <w:t>两高</w:t>
            </w:r>
            <w:r>
              <w:rPr>
                <w:rFonts w:ascii="方正仿宋_GBK" w:hAnsi="方正仿宋_GBK"/>
                <w:sz w:val="22"/>
                <w:szCs w:val="22"/>
              </w:rPr>
              <w:t>”</w:t>
            </w:r>
            <w:r>
              <w:rPr>
                <w:rFonts w:ascii="方正仿宋_GBK" w:hAnsi="方正仿宋_GBK"/>
                <w:sz w:val="22"/>
                <w:szCs w:val="22"/>
              </w:rPr>
              <w:t>项目中的</w:t>
            </w:r>
            <w:r>
              <w:rPr>
                <w:rFonts w:ascii="方正仿宋_GBK" w:hAnsi="方正仿宋_GBK"/>
                <w:sz w:val="22"/>
                <w:szCs w:val="22"/>
              </w:rPr>
              <w:t>1</w:t>
            </w:r>
            <w:r>
              <w:rPr>
                <w:rFonts w:ascii="方正仿宋_GBK" w:hAnsi="方正仿宋_GBK"/>
                <w:sz w:val="22"/>
                <w:szCs w:val="22"/>
              </w:rPr>
              <w:t>个项目（新巴尔虎右旗内蒙古金山矿业有限公司额仁</w:t>
            </w:r>
            <w:proofErr w:type="gramStart"/>
            <w:r>
              <w:rPr>
                <w:rFonts w:ascii="方正仿宋_GBK" w:hAnsi="方正仿宋_GBK"/>
                <w:sz w:val="22"/>
                <w:szCs w:val="22"/>
              </w:rPr>
              <w:t>淘勒盖</w:t>
            </w:r>
            <w:proofErr w:type="gramEnd"/>
            <w:r>
              <w:rPr>
                <w:rFonts w:ascii="方正仿宋_GBK" w:hAnsi="方正仿宋_GBK"/>
                <w:sz w:val="22"/>
                <w:szCs w:val="22"/>
              </w:rPr>
              <w:t>难选低品位氧化锰银矿及尾矿综合利用项目）。</w:t>
            </w:r>
          </w:p>
          <w:p w:rsidR="006C011D" w:rsidRDefault="006C011D">
            <w:pPr>
              <w:autoSpaceDE w:val="0"/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方正仿宋_GBK" w:hAnsi="方正仿宋_GBK"/>
                <w:b/>
                <w:bCs/>
                <w:sz w:val="22"/>
                <w:szCs w:val="22"/>
              </w:rPr>
              <w:t>乌海市：</w:t>
            </w:r>
            <w:r>
              <w:rPr>
                <w:rFonts w:ascii="方正仿宋_GBK" w:hAnsi="方正仿宋_GBK"/>
                <w:sz w:val="22"/>
                <w:szCs w:val="22"/>
              </w:rPr>
              <w:t>涉及未批先建</w:t>
            </w:r>
            <w:r>
              <w:rPr>
                <w:rFonts w:ascii="方正仿宋_GBK" w:hAnsi="方正仿宋_GBK"/>
                <w:sz w:val="22"/>
                <w:szCs w:val="22"/>
              </w:rPr>
              <w:t>42</w:t>
            </w:r>
            <w:r>
              <w:rPr>
                <w:rFonts w:ascii="方正仿宋_GBK" w:hAnsi="方正仿宋_GBK"/>
                <w:sz w:val="22"/>
                <w:szCs w:val="22"/>
              </w:rPr>
              <w:t>个项目中的</w:t>
            </w:r>
            <w:r>
              <w:rPr>
                <w:rFonts w:ascii="方正仿宋_GBK" w:hAnsi="方正仿宋_GBK"/>
                <w:sz w:val="22"/>
                <w:szCs w:val="22"/>
              </w:rPr>
              <w:t>2</w:t>
            </w:r>
            <w:r>
              <w:rPr>
                <w:rFonts w:ascii="方正仿宋_GBK" w:hAnsi="方正仿宋_GBK"/>
                <w:sz w:val="22"/>
                <w:szCs w:val="22"/>
              </w:rPr>
              <w:t>个项目（乌海市内蒙古广聚新材料有限责任公司</w:t>
            </w:r>
            <w:r>
              <w:rPr>
                <w:rFonts w:ascii="方正仿宋_GBK" w:hAnsi="方正仿宋_GBK"/>
                <w:sz w:val="22"/>
                <w:szCs w:val="22"/>
              </w:rPr>
              <w:t>500</w:t>
            </w:r>
            <w:r>
              <w:rPr>
                <w:rFonts w:ascii="方正仿宋_GBK" w:hAnsi="方正仿宋_GBK"/>
                <w:sz w:val="22"/>
                <w:szCs w:val="22"/>
              </w:rPr>
              <w:t>万吨</w:t>
            </w:r>
            <w:r>
              <w:rPr>
                <w:rFonts w:ascii="方正仿宋_GBK" w:hAnsi="方正仿宋_GBK"/>
                <w:sz w:val="22"/>
                <w:szCs w:val="22"/>
              </w:rPr>
              <w:t>/</w:t>
            </w:r>
            <w:r>
              <w:rPr>
                <w:rFonts w:ascii="方正仿宋_GBK" w:hAnsi="方正仿宋_GBK"/>
                <w:sz w:val="22"/>
                <w:szCs w:val="22"/>
              </w:rPr>
              <w:t>年煤焦化联产项目、内蒙古兴发科技有限公司废盐回收综合利用项目（已并入内蒙古兴发科技有限公司有机硅新材料一体化循环项目）。</w:t>
            </w:r>
          </w:p>
        </w:tc>
      </w:tr>
      <w:tr w:rsidR="006C011D" w:rsidTr="006C011D">
        <w:trPr>
          <w:trHeight w:val="101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center"/>
              <w:rPr>
                <w:rFonts w:ascii="方正仿宋_GBK" w:hAnsi="方正仿宋_GBK"/>
                <w:sz w:val="22"/>
                <w:szCs w:val="22"/>
              </w:rPr>
            </w:pPr>
          </w:p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center"/>
              <w:rPr>
                <w:rFonts w:ascii="方正仿宋_GBK" w:hAnsi="方正仿宋_GBK"/>
                <w:sz w:val="22"/>
                <w:szCs w:val="22"/>
              </w:rPr>
            </w:pPr>
            <w:r>
              <w:rPr>
                <w:rFonts w:ascii="方正仿宋_GBK" w:hAnsi="方正仿宋_GBK"/>
                <w:sz w:val="22"/>
                <w:szCs w:val="22"/>
              </w:rPr>
              <w:t>责任单位</w:t>
            </w:r>
          </w:p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center"/>
              <w:rPr>
                <w:rFonts w:ascii="方正仿宋_GBK" w:hAnsi="方正仿宋_GBK"/>
                <w:sz w:val="22"/>
                <w:szCs w:val="22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left"/>
              <w:rPr>
                <w:rFonts w:ascii="方正仿宋_GBK" w:hAnsi="方正仿宋_GBK"/>
                <w:sz w:val="22"/>
                <w:szCs w:val="22"/>
              </w:rPr>
            </w:pPr>
            <w:r>
              <w:rPr>
                <w:rFonts w:ascii="方正仿宋_GBK" w:hAnsi="方正仿宋_GBK"/>
                <w:sz w:val="22"/>
                <w:szCs w:val="22"/>
              </w:rPr>
              <w:t>呼伦贝尔市、乌海市人民政府</w:t>
            </w:r>
          </w:p>
        </w:tc>
      </w:tr>
      <w:tr w:rsidR="006C011D" w:rsidTr="006C011D">
        <w:trPr>
          <w:trHeight w:val="9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center"/>
              <w:rPr>
                <w:rFonts w:ascii="方正仿宋_GBK" w:hAnsi="方正仿宋_GBK"/>
                <w:sz w:val="22"/>
                <w:szCs w:val="22"/>
              </w:rPr>
            </w:pPr>
          </w:p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center"/>
              <w:rPr>
                <w:rFonts w:ascii="方正仿宋_GBK" w:hAnsi="方正仿宋_GBK"/>
                <w:sz w:val="22"/>
                <w:szCs w:val="22"/>
              </w:rPr>
            </w:pPr>
            <w:r>
              <w:rPr>
                <w:rFonts w:ascii="方正仿宋_GBK" w:hAnsi="方正仿宋_GBK"/>
                <w:sz w:val="22"/>
                <w:szCs w:val="22"/>
              </w:rPr>
              <w:t>整改目标</w:t>
            </w:r>
          </w:p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center"/>
              <w:rPr>
                <w:rFonts w:ascii="方正仿宋_GBK" w:hAnsi="方正仿宋_GBK"/>
                <w:sz w:val="22"/>
                <w:szCs w:val="22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left"/>
              <w:rPr>
                <w:rFonts w:ascii="方正仿宋_GBK" w:hAnsi="方正仿宋_GBK"/>
                <w:sz w:val="22"/>
                <w:szCs w:val="22"/>
              </w:rPr>
            </w:pPr>
            <w:r>
              <w:rPr>
                <w:rFonts w:ascii="方正仿宋_GBK" w:hAnsi="方正仿宋_GBK"/>
                <w:sz w:val="22"/>
                <w:szCs w:val="22"/>
              </w:rPr>
              <w:t>全面梳理涉及项目情况，建立</w:t>
            </w:r>
            <w:proofErr w:type="gramStart"/>
            <w:r>
              <w:rPr>
                <w:rFonts w:ascii="方正仿宋_GBK" w:hAnsi="方正仿宋_GBK"/>
                <w:sz w:val="22"/>
                <w:szCs w:val="22"/>
              </w:rPr>
              <w:t>整改台</w:t>
            </w:r>
            <w:proofErr w:type="gramEnd"/>
            <w:r>
              <w:rPr>
                <w:rFonts w:ascii="方正仿宋_GBK" w:hAnsi="方正仿宋_GBK"/>
                <w:sz w:val="22"/>
                <w:szCs w:val="22"/>
              </w:rPr>
              <w:t>账，分类施策、依法依规推动整改，确保整改责任落实。建立长效机制，举一反三，强化</w:t>
            </w:r>
            <w:r>
              <w:rPr>
                <w:rFonts w:ascii="方正仿宋_GBK" w:hAnsi="方正仿宋_GBK"/>
                <w:sz w:val="22"/>
                <w:szCs w:val="22"/>
              </w:rPr>
              <w:t>“</w:t>
            </w:r>
            <w:r>
              <w:rPr>
                <w:rFonts w:ascii="方正仿宋_GBK" w:hAnsi="方正仿宋_GBK"/>
                <w:sz w:val="22"/>
                <w:szCs w:val="22"/>
              </w:rPr>
              <w:t>两高</w:t>
            </w:r>
            <w:r>
              <w:rPr>
                <w:rFonts w:ascii="方正仿宋_GBK" w:hAnsi="方正仿宋_GBK"/>
                <w:sz w:val="22"/>
                <w:szCs w:val="22"/>
              </w:rPr>
              <w:t>”</w:t>
            </w:r>
            <w:r>
              <w:rPr>
                <w:rFonts w:ascii="方正仿宋_GBK" w:hAnsi="方正仿宋_GBK"/>
                <w:sz w:val="22"/>
                <w:szCs w:val="22"/>
              </w:rPr>
              <w:t>项目节能审查监管，杜绝类似问题再次发生。</w:t>
            </w:r>
          </w:p>
          <w:p w:rsidR="006C011D" w:rsidRDefault="006C011D">
            <w:pPr>
              <w:pStyle w:val="a0"/>
              <w:ind w:firstLine="723"/>
              <w:rPr>
                <w:rFonts w:hAnsi="Times New Roman"/>
              </w:rPr>
            </w:pPr>
          </w:p>
        </w:tc>
      </w:tr>
      <w:tr w:rsidR="006C011D" w:rsidTr="006C011D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center"/>
              <w:rPr>
                <w:rFonts w:ascii="方正仿宋_GBK" w:hAnsi="方正仿宋_GBK"/>
                <w:sz w:val="22"/>
                <w:szCs w:val="22"/>
              </w:rPr>
            </w:pPr>
          </w:p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center"/>
              <w:rPr>
                <w:rFonts w:ascii="方正仿宋_GBK" w:hAnsi="方正仿宋_GBK"/>
                <w:sz w:val="22"/>
                <w:szCs w:val="22"/>
              </w:rPr>
            </w:pPr>
            <w:r>
              <w:rPr>
                <w:rFonts w:ascii="方正仿宋_GBK" w:hAnsi="方正仿宋_GBK"/>
                <w:sz w:val="22"/>
                <w:szCs w:val="22"/>
              </w:rPr>
              <w:t>整改措施</w:t>
            </w:r>
          </w:p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center"/>
              <w:rPr>
                <w:rFonts w:ascii="方正仿宋_GBK" w:hAnsi="方正仿宋_GBK"/>
                <w:sz w:val="22"/>
                <w:szCs w:val="22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left"/>
              <w:rPr>
                <w:rFonts w:ascii="方正仿宋_GBK" w:hAnsi="方正仿宋_GBK"/>
                <w:sz w:val="22"/>
                <w:szCs w:val="22"/>
              </w:rPr>
            </w:pPr>
            <w:r>
              <w:rPr>
                <w:rFonts w:ascii="方正仿宋_GBK" w:hAnsi="方正仿宋_GBK"/>
                <w:sz w:val="22"/>
                <w:szCs w:val="22"/>
              </w:rPr>
              <w:t>（</w:t>
            </w:r>
            <w:r>
              <w:rPr>
                <w:rFonts w:ascii="方正仿宋_GBK" w:hAnsi="方正仿宋_GBK"/>
                <w:sz w:val="22"/>
                <w:szCs w:val="22"/>
              </w:rPr>
              <w:t>1</w:t>
            </w:r>
            <w:r>
              <w:rPr>
                <w:rFonts w:ascii="方正仿宋_GBK" w:hAnsi="方正仿宋_GBK"/>
                <w:sz w:val="22"/>
                <w:szCs w:val="22"/>
              </w:rPr>
              <w:t>）对未经节能审查违规建设的</w:t>
            </w:r>
            <w:r>
              <w:rPr>
                <w:rFonts w:ascii="方正仿宋_GBK" w:hAnsi="方正仿宋_GBK"/>
                <w:sz w:val="22"/>
                <w:szCs w:val="22"/>
              </w:rPr>
              <w:t>42</w:t>
            </w:r>
            <w:r>
              <w:rPr>
                <w:rFonts w:ascii="方正仿宋_GBK" w:hAnsi="方正仿宋_GBK"/>
                <w:sz w:val="22"/>
                <w:szCs w:val="22"/>
              </w:rPr>
              <w:t>个</w:t>
            </w:r>
            <w:r>
              <w:rPr>
                <w:rFonts w:ascii="方正仿宋_GBK" w:hAnsi="方正仿宋_GBK"/>
                <w:sz w:val="22"/>
                <w:szCs w:val="22"/>
              </w:rPr>
              <w:t>“</w:t>
            </w:r>
            <w:r>
              <w:rPr>
                <w:rFonts w:ascii="方正仿宋_GBK" w:hAnsi="方正仿宋_GBK"/>
                <w:sz w:val="22"/>
                <w:szCs w:val="22"/>
              </w:rPr>
              <w:t>两高</w:t>
            </w:r>
            <w:r>
              <w:rPr>
                <w:rFonts w:ascii="方正仿宋_GBK" w:hAnsi="方正仿宋_GBK"/>
                <w:sz w:val="22"/>
                <w:szCs w:val="22"/>
              </w:rPr>
              <w:t>”</w:t>
            </w:r>
            <w:r>
              <w:rPr>
                <w:rFonts w:ascii="方正仿宋_GBK" w:hAnsi="方正仿宋_GBK"/>
                <w:sz w:val="22"/>
                <w:szCs w:val="22"/>
              </w:rPr>
              <w:t>项目，督促相关盟市</w:t>
            </w:r>
            <w:proofErr w:type="gramStart"/>
            <w:r>
              <w:rPr>
                <w:rFonts w:ascii="方正仿宋_GBK" w:hAnsi="方正仿宋_GBK"/>
                <w:sz w:val="22"/>
                <w:szCs w:val="22"/>
              </w:rPr>
              <w:t>和发改部门</w:t>
            </w:r>
            <w:proofErr w:type="gramEnd"/>
            <w:r>
              <w:rPr>
                <w:rFonts w:ascii="方正仿宋_GBK" w:hAnsi="方正仿宋_GBK"/>
                <w:sz w:val="22"/>
                <w:szCs w:val="22"/>
              </w:rPr>
              <w:t>按照审批权限，通过落实能耗指标来源或采取化解能耗强度影响措施妥善解决，</w:t>
            </w:r>
            <w:r>
              <w:rPr>
                <w:rFonts w:ascii="方正仿宋_GBK" w:hAnsi="方正仿宋_GBK"/>
                <w:sz w:val="22"/>
                <w:szCs w:val="22"/>
              </w:rPr>
              <w:t>2022</w:t>
            </w:r>
            <w:r>
              <w:rPr>
                <w:rFonts w:ascii="方正仿宋_GBK" w:hAnsi="方正仿宋_GBK"/>
                <w:sz w:val="22"/>
                <w:szCs w:val="22"/>
              </w:rPr>
              <w:t>年</w:t>
            </w:r>
            <w:r>
              <w:rPr>
                <w:rFonts w:ascii="方正仿宋_GBK" w:hAnsi="方正仿宋_GBK"/>
                <w:sz w:val="22"/>
                <w:szCs w:val="22"/>
              </w:rPr>
              <w:t>12</w:t>
            </w:r>
            <w:r>
              <w:rPr>
                <w:rFonts w:ascii="方正仿宋_GBK" w:hAnsi="方正仿宋_GBK"/>
                <w:sz w:val="22"/>
                <w:szCs w:val="22"/>
              </w:rPr>
              <w:t>月底前，完善节能审查手续；逾期未完成的，由相应的节能审查机关责令停工停产。</w:t>
            </w:r>
          </w:p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left"/>
              <w:rPr>
                <w:rFonts w:ascii="方正仿宋_GBK" w:hAnsi="方正仿宋_GBK"/>
                <w:sz w:val="22"/>
                <w:szCs w:val="22"/>
              </w:rPr>
            </w:pPr>
            <w:r>
              <w:rPr>
                <w:rFonts w:ascii="方正仿宋_GBK" w:hAnsi="方正仿宋_GBK"/>
                <w:sz w:val="22"/>
                <w:szCs w:val="22"/>
              </w:rPr>
              <w:t>（</w:t>
            </w:r>
            <w:r>
              <w:rPr>
                <w:rFonts w:ascii="方正仿宋_GBK" w:hAnsi="方正仿宋_GBK"/>
                <w:sz w:val="22"/>
                <w:szCs w:val="22"/>
              </w:rPr>
              <w:t>2</w:t>
            </w:r>
            <w:r>
              <w:rPr>
                <w:rFonts w:ascii="方正仿宋_GBK" w:hAnsi="方正仿宋_GBK"/>
                <w:sz w:val="22"/>
                <w:szCs w:val="22"/>
              </w:rPr>
              <w:t>）对相关盟市、旗县工业和信息化部门</w:t>
            </w:r>
            <w:r>
              <w:rPr>
                <w:rFonts w:ascii="方正仿宋_GBK" w:hAnsi="方正仿宋_GBK"/>
                <w:sz w:val="22"/>
                <w:szCs w:val="22"/>
              </w:rPr>
              <w:t>2017</w:t>
            </w:r>
            <w:r>
              <w:rPr>
                <w:rFonts w:ascii="方正仿宋_GBK" w:hAnsi="方正仿宋_GBK"/>
                <w:sz w:val="22"/>
                <w:szCs w:val="22"/>
              </w:rPr>
              <w:t>年以来越权出具节能审查意见的</w:t>
            </w:r>
            <w:r>
              <w:rPr>
                <w:rFonts w:ascii="方正仿宋_GBK" w:hAnsi="方正仿宋_GBK"/>
                <w:sz w:val="22"/>
                <w:szCs w:val="22"/>
              </w:rPr>
              <w:t>32</w:t>
            </w:r>
            <w:r>
              <w:rPr>
                <w:rFonts w:ascii="方正仿宋_GBK" w:hAnsi="方正仿宋_GBK"/>
                <w:sz w:val="22"/>
                <w:szCs w:val="22"/>
              </w:rPr>
              <w:t>个</w:t>
            </w:r>
            <w:r>
              <w:rPr>
                <w:rFonts w:ascii="方正仿宋_GBK" w:hAnsi="方正仿宋_GBK"/>
                <w:sz w:val="22"/>
                <w:szCs w:val="22"/>
              </w:rPr>
              <w:t>“</w:t>
            </w:r>
            <w:r>
              <w:rPr>
                <w:rFonts w:ascii="方正仿宋_GBK" w:hAnsi="方正仿宋_GBK"/>
                <w:sz w:val="22"/>
                <w:szCs w:val="22"/>
              </w:rPr>
              <w:t>两高</w:t>
            </w:r>
            <w:r>
              <w:rPr>
                <w:rFonts w:ascii="方正仿宋_GBK" w:hAnsi="方正仿宋_GBK"/>
                <w:sz w:val="22"/>
                <w:szCs w:val="22"/>
              </w:rPr>
              <w:t>”</w:t>
            </w:r>
            <w:r>
              <w:rPr>
                <w:rFonts w:ascii="方正仿宋_GBK" w:hAnsi="方正仿宋_GBK"/>
                <w:sz w:val="22"/>
                <w:szCs w:val="22"/>
              </w:rPr>
              <w:t>项目，</w:t>
            </w:r>
            <w:r>
              <w:rPr>
                <w:rFonts w:ascii="方正仿宋_GBK" w:hAnsi="方正仿宋_GBK"/>
                <w:sz w:val="22"/>
                <w:szCs w:val="22"/>
              </w:rPr>
              <w:t>2022</w:t>
            </w:r>
            <w:r>
              <w:rPr>
                <w:rFonts w:ascii="方正仿宋_GBK" w:hAnsi="方正仿宋_GBK"/>
                <w:sz w:val="22"/>
                <w:szCs w:val="22"/>
              </w:rPr>
              <w:t>年</w:t>
            </w:r>
            <w:r>
              <w:rPr>
                <w:rFonts w:ascii="方正仿宋_GBK" w:hAnsi="方正仿宋_GBK"/>
                <w:sz w:val="22"/>
                <w:szCs w:val="22"/>
              </w:rPr>
              <w:t>12</w:t>
            </w:r>
            <w:r>
              <w:rPr>
                <w:rFonts w:ascii="方正仿宋_GBK" w:hAnsi="方正仿宋_GBK"/>
                <w:sz w:val="22"/>
                <w:szCs w:val="22"/>
              </w:rPr>
              <w:t>底前，由原审批部门撤销越权出具的节能审查意见；</w:t>
            </w:r>
            <w:r>
              <w:rPr>
                <w:rFonts w:ascii="方正仿宋_GBK" w:hAnsi="方正仿宋_GBK"/>
                <w:sz w:val="22"/>
                <w:szCs w:val="22"/>
              </w:rPr>
              <w:t>2023</w:t>
            </w:r>
            <w:r>
              <w:rPr>
                <w:rFonts w:ascii="方正仿宋_GBK" w:hAnsi="方正仿宋_GBK"/>
                <w:sz w:val="22"/>
                <w:szCs w:val="22"/>
              </w:rPr>
              <w:t>年</w:t>
            </w:r>
            <w:r>
              <w:rPr>
                <w:rFonts w:ascii="方正仿宋_GBK" w:hAnsi="方正仿宋_GBK"/>
                <w:sz w:val="22"/>
                <w:szCs w:val="22"/>
              </w:rPr>
              <w:t>6</w:t>
            </w:r>
            <w:r>
              <w:rPr>
                <w:rFonts w:ascii="方正仿宋_GBK" w:hAnsi="方正仿宋_GBK"/>
                <w:sz w:val="22"/>
                <w:szCs w:val="22"/>
              </w:rPr>
              <w:t>月底前，重新依法依规履行节能审查手续。</w:t>
            </w:r>
          </w:p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left"/>
              <w:rPr>
                <w:rFonts w:ascii="方正仿宋_GBK" w:hAnsi="方正仿宋_GBK"/>
                <w:sz w:val="22"/>
                <w:szCs w:val="22"/>
              </w:rPr>
            </w:pPr>
            <w:r>
              <w:rPr>
                <w:rFonts w:ascii="方正仿宋_GBK" w:hAnsi="方正仿宋_GBK"/>
                <w:sz w:val="22"/>
                <w:szCs w:val="22"/>
              </w:rPr>
              <w:t>（</w:t>
            </w:r>
            <w:r>
              <w:rPr>
                <w:rFonts w:ascii="方正仿宋_GBK" w:hAnsi="方正仿宋_GBK"/>
                <w:sz w:val="22"/>
                <w:szCs w:val="22"/>
              </w:rPr>
              <w:t>3</w:t>
            </w:r>
            <w:r>
              <w:rPr>
                <w:rFonts w:ascii="方正仿宋_GBK" w:hAnsi="方正仿宋_GBK"/>
                <w:sz w:val="22"/>
                <w:szCs w:val="22"/>
              </w:rPr>
              <w:t>）对自治区工业和信息化部门把关不严审批的</w:t>
            </w:r>
            <w:r>
              <w:rPr>
                <w:rFonts w:ascii="方正仿宋_GBK" w:hAnsi="方正仿宋_GBK"/>
                <w:sz w:val="22"/>
                <w:szCs w:val="22"/>
              </w:rPr>
              <w:t>20</w:t>
            </w:r>
            <w:r>
              <w:rPr>
                <w:rFonts w:ascii="方正仿宋_GBK" w:hAnsi="方正仿宋_GBK"/>
                <w:sz w:val="22"/>
                <w:szCs w:val="22"/>
              </w:rPr>
              <w:t>个</w:t>
            </w:r>
            <w:r>
              <w:rPr>
                <w:rFonts w:ascii="方正仿宋_GBK" w:hAnsi="方正仿宋_GBK"/>
                <w:sz w:val="22"/>
                <w:szCs w:val="22"/>
              </w:rPr>
              <w:t>“</w:t>
            </w:r>
            <w:r>
              <w:rPr>
                <w:rFonts w:ascii="方正仿宋_GBK" w:hAnsi="方正仿宋_GBK"/>
                <w:sz w:val="22"/>
                <w:szCs w:val="22"/>
              </w:rPr>
              <w:t>两高</w:t>
            </w:r>
            <w:r>
              <w:rPr>
                <w:rFonts w:ascii="方正仿宋_GBK" w:hAnsi="方正仿宋_GBK"/>
                <w:sz w:val="22"/>
                <w:szCs w:val="22"/>
              </w:rPr>
              <w:t>”</w:t>
            </w:r>
            <w:r>
              <w:rPr>
                <w:rFonts w:ascii="方正仿宋_GBK" w:hAnsi="方正仿宋_GBK"/>
                <w:sz w:val="22"/>
                <w:szCs w:val="22"/>
              </w:rPr>
              <w:t>项目，</w:t>
            </w:r>
            <w:r>
              <w:rPr>
                <w:rFonts w:ascii="方正仿宋_GBK" w:hAnsi="方正仿宋_GBK"/>
                <w:sz w:val="22"/>
                <w:szCs w:val="22"/>
              </w:rPr>
              <w:t>2022</w:t>
            </w:r>
            <w:r>
              <w:rPr>
                <w:rFonts w:ascii="方正仿宋_GBK" w:hAnsi="方正仿宋_GBK"/>
                <w:sz w:val="22"/>
                <w:szCs w:val="22"/>
              </w:rPr>
              <w:t>年</w:t>
            </w:r>
            <w:r>
              <w:rPr>
                <w:rFonts w:ascii="方正仿宋_GBK" w:hAnsi="方正仿宋_GBK"/>
                <w:sz w:val="22"/>
                <w:szCs w:val="22"/>
              </w:rPr>
              <w:t>9</w:t>
            </w:r>
            <w:r>
              <w:rPr>
                <w:rFonts w:ascii="方正仿宋_GBK" w:hAnsi="方正仿宋_GBK"/>
                <w:sz w:val="22"/>
                <w:szCs w:val="22"/>
              </w:rPr>
              <w:t>月底前对未开工的</w:t>
            </w:r>
            <w:r>
              <w:rPr>
                <w:rFonts w:ascii="方正仿宋_GBK" w:hAnsi="方正仿宋_GBK"/>
                <w:sz w:val="22"/>
                <w:szCs w:val="22"/>
              </w:rPr>
              <w:t>9</w:t>
            </w:r>
            <w:r>
              <w:rPr>
                <w:rFonts w:ascii="方正仿宋_GBK" w:hAnsi="方正仿宋_GBK"/>
                <w:sz w:val="22"/>
                <w:szCs w:val="22"/>
              </w:rPr>
              <w:t>个项目节能审查批复予以撤销，不再建设；</w:t>
            </w:r>
            <w:r>
              <w:rPr>
                <w:rFonts w:ascii="方正仿宋_GBK" w:hAnsi="方正仿宋_GBK"/>
                <w:sz w:val="22"/>
                <w:szCs w:val="22"/>
              </w:rPr>
              <w:t>11</w:t>
            </w:r>
            <w:r>
              <w:rPr>
                <w:rFonts w:ascii="方正仿宋_GBK" w:hAnsi="方正仿宋_GBK"/>
                <w:sz w:val="22"/>
                <w:szCs w:val="22"/>
              </w:rPr>
              <w:t>个已建成和在建项目，</w:t>
            </w:r>
            <w:r>
              <w:rPr>
                <w:rFonts w:ascii="方正仿宋_GBK" w:hAnsi="方正仿宋_GBK"/>
                <w:sz w:val="22"/>
                <w:szCs w:val="22"/>
              </w:rPr>
              <w:t>2023</w:t>
            </w:r>
            <w:r>
              <w:rPr>
                <w:rFonts w:ascii="方正仿宋_GBK" w:hAnsi="方正仿宋_GBK"/>
                <w:sz w:val="22"/>
                <w:szCs w:val="22"/>
              </w:rPr>
              <w:t>年</w:t>
            </w:r>
            <w:r>
              <w:rPr>
                <w:rFonts w:ascii="方正仿宋_GBK" w:hAnsi="方正仿宋_GBK"/>
                <w:sz w:val="22"/>
                <w:szCs w:val="22"/>
              </w:rPr>
              <w:t>6</w:t>
            </w:r>
            <w:r>
              <w:rPr>
                <w:rFonts w:ascii="方正仿宋_GBK" w:hAnsi="方正仿宋_GBK"/>
                <w:sz w:val="22"/>
                <w:szCs w:val="22"/>
              </w:rPr>
              <w:t>月底前，通过落实能耗指标来源或采取化解能耗强度影响措施妥善解决。</w:t>
            </w:r>
          </w:p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left"/>
              <w:rPr>
                <w:rFonts w:ascii="方正仿宋_GBK" w:hAnsi="方正仿宋_GBK"/>
                <w:sz w:val="22"/>
                <w:szCs w:val="22"/>
              </w:rPr>
            </w:pPr>
            <w:r>
              <w:rPr>
                <w:rFonts w:ascii="方正仿宋_GBK" w:hAnsi="方正仿宋_GBK"/>
                <w:sz w:val="22"/>
                <w:szCs w:val="22"/>
              </w:rPr>
              <w:t>（</w:t>
            </w:r>
            <w:r>
              <w:rPr>
                <w:rFonts w:ascii="方正仿宋_GBK" w:hAnsi="方正仿宋_GBK"/>
                <w:sz w:val="22"/>
                <w:szCs w:val="22"/>
              </w:rPr>
              <w:t>4</w:t>
            </w:r>
            <w:r>
              <w:rPr>
                <w:rFonts w:ascii="方正仿宋_GBK" w:hAnsi="方正仿宋_GBK"/>
                <w:sz w:val="22"/>
                <w:szCs w:val="22"/>
              </w:rPr>
              <w:t>）建立未批先建的</w:t>
            </w:r>
            <w:r>
              <w:rPr>
                <w:rFonts w:ascii="方正仿宋_GBK" w:hAnsi="方正仿宋_GBK"/>
                <w:sz w:val="22"/>
                <w:szCs w:val="22"/>
              </w:rPr>
              <w:t>42</w:t>
            </w:r>
            <w:r>
              <w:rPr>
                <w:rFonts w:ascii="方正仿宋_GBK" w:hAnsi="方正仿宋_GBK"/>
                <w:sz w:val="22"/>
                <w:szCs w:val="22"/>
              </w:rPr>
              <w:t>个项目、越权审批的</w:t>
            </w:r>
            <w:r>
              <w:rPr>
                <w:rFonts w:ascii="方正仿宋_GBK" w:hAnsi="方正仿宋_GBK"/>
                <w:sz w:val="22"/>
                <w:szCs w:val="22"/>
              </w:rPr>
              <w:t>32</w:t>
            </w:r>
            <w:r>
              <w:rPr>
                <w:rFonts w:ascii="方正仿宋_GBK" w:hAnsi="方正仿宋_GBK"/>
                <w:sz w:val="22"/>
                <w:szCs w:val="22"/>
              </w:rPr>
              <w:t>个项目和把关不严审批的</w:t>
            </w:r>
            <w:r>
              <w:rPr>
                <w:rFonts w:ascii="方正仿宋_GBK" w:hAnsi="方正仿宋_GBK"/>
                <w:sz w:val="22"/>
                <w:szCs w:val="22"/>
              </w:rPr>
              <w:t>20</w:t>
            </w:r>
            <w:r>
              <w:rPr>
                <w:rFonts w:ascii="方正仿宋_GBK" w:hAnsi="方正仿宋_GBK"/>
                <w:sz w:val="22"/>
                <w:szCs w:val="22"/>
              </w:rPr>
              <w:t>个项目整改任务进展情况台账，盯紧进度，及时协调化解整改过程中遇到的问题，确保整改任务按时高效高质整改落实到位。建立乌兰察布市未批先建</w:t>
            </w:r>
            <w:r>
              <w:rPr>
                <w:rFonts w:ascii="方正仿宋_GBK" w:hAnsi="方正仿宋_GBK"/>
                <w:sz w:val="22"/>
                <w:szCs w:val="22"/>
              </w:rPr>
              <w:t>18</w:t>
            </w:r>
            <w:r>
              <w:rPr>
                <w:rFonts w:ascii="方正仿宋_GBK" w:hAnsi="方正仿宋_GBK"/>
                <w:sz w:val="22"/>
                <w:szCs w:val="22"/>
              </w:rPr>
              <w:t>个项目和越权审批</w:t>
            </w:r>
            <w:r>
              <w:rPr>
                <w:rFonts w:ascii="方正仿宋_GBK" w:hAnsi="方正仿宋_GBK"/>
                <w:sz w:val="22"/>
                <w:szCs w:val="22"/>
              </w:rPr>
              <w:t>20</w:t>
            </w:r>
            <w:r>
              <w:rPr>
                <w:rFonts w:ascii="方正仿宋_GBK" w:hAnsi="方正仿宋_GBK"/>
                <w:sz w:val="22"/>
                <w:szCs w:val="22"/>
              </w:rPr>
              <w:t>个项目专项台账，强化对重点地区的督查督办力度。</w:t>
            </w:r>
          </w:p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left"/>
              <w:rPr>
                <w:rFonts w:ascii="方正仿宋_GBK" w:hAnsi="方正仿宋_GBK"/>
                <w:sz w:val="22"/>
                <w:szCs w:val="22"/>
              </w:rPr>
            </w:pPr>
            <w:r>
              <w:rPr>
                <w:rFonts w:ascii="方正仿宋_GBK" w:hAnsi="方正仿宋_GBK"/>
                <w:sz w:val="22"/>
                <w:szCs w:val="22"/>
              </w:rPr>
              <w:t>（</w:t>
            </w:r>
            <w:r>
              <w:rPr>
                <w:rFonts w:ascii="方正仿宋_GBK" w:hAnsi="方正仿宋_GBK"/>
                <w:sz w:val="22"/>
                <w:szCs w:val="22"/>
              </w:rPr>
              <w:t>5</w:t>
            </w:r>
            <w:r>
              <w:rPr>
                <w:rFonts w:ascii="方正仿宋_GBK" w:hAnsi="方正仿宋_GBK"/>
                <w:sz w:val="22"/>
                <w:szCs w:val="22"/>
              </w:rPr>
              <w:t>）强化项目节能审查监管，</w:t>
            </w:r>
            <w:r>
              <w:rPr>
                <w:rFonts w:ascii="方正仿宋_GBK" w:hAnsi="方正仿宋_GBK"/>
                <w:sz w:val="22"/>
                <w:szCs w:val="22"/>
              </w:rPr>
              <w:t>2022</w:t>
            </w:r>
            <w:r>
              <w:rPr>
                <w:rFonts w:ascii="方正仿宋_GBK" w:hAnsi="方正仿宋_GBK"/>
                <w:sz w:val="22"/>
                <w:szCs w:val="22"/>
              </w:rPr>
              <w:t>年底前完成中央环保督查整改任务专项节能监察，对整改任务指出的重点项目落实节能审查制度执行情况、单位产品能耗限额情况等进行监察。强化常态化节能执法监察，依法依规严肃查处各类违法违规用能行为。</w:t>
            </w:r>
          </w:p>
        </w:tc>
      </w:tr>
      <w:tr w:rsidR="006C011D" w:rsidTr="006C011D">
        <w:trPr>
          <w:trHeight w:val="3038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center"/>
              <w:rPr>
                <w:rFonts w:ascii="方正仿宋_GBK" w:hAnsi="方正仿宋_GBK"/>
                <w:sz w:val="22"/>
                <w:szCs w:val="22"/>
              </w:rPr>
            </w:pPr>
          </w:p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center"/>
              <w:rPr>
                <w:rFonts w:ascii="方正仿宋_GBK" w:hAnsi="方正仿宋_GBK"/>
                <w:sz w:val="22"/>
                <w:szCs w:val="22"/>
              </w:rPr>
            </w:pPr>
            <w:r>
              <w:rPr>
                <w:rFonts w:ascii="方正仿宋_GBK" w:hAnsi="方正仿宋_GBK"/>
                <w:sz w:val="22"/>
                <w:szCs w:val="22"/>
              </w:rPr>
              <w:t>完成情况</w:t>
            </w:r>
          </w:p>
          <w:p w:rsidR="006C011D" w:rsidRDefault="006C011D">
            <w:pPr>
              <w:autoSpaceDE w:val="0"/>
              <w:adjustRightInd w:val="0"/>
              <w:snapToGrid w:val="0"/>
              <w:spacing w:line="540" w:lineRule="exact"/>
              <w:jc w:val="center"/>
              <w:rPr>
                <w:rFonts w:ascii="方正仿宋_GBK" w:hAnsi="方正仿宋_GBK"/>
                <w:sz w:val="22"/>
                <w:szCs w:val="22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1D" w:rsidRDefault="006C011D">
            <w:pPr>
              <w:autoSpaceDE w:val="0"/>
              <w:spacing w:line="540" w:lineRule="exact"/>
              <w:rPr>
                <w:rFonts w:ascii="方正仿宋_GBK" w:hAnsi="方正仿宋_GBK"/>
                <w:sz w:val="22"/>
                <w:szCs w:val="22"/>
              </w:rPr>
            </w:pPr>
            <w:r>
              <w:rPr>
                <w:rFonts w:ascii="方正仿宋_GBK" w:hAnsi="方正仿宋_GBK"/>
                <w:b/>
                <w:bCs/>
                <w:sz w:val="22"/>
                <w:szCs w:val="22"/>
              </w:rPr>
              <w:t>呼伦贝尔市：</w:t>
            </w:r>
            <w:r>
              <w:rPr>
                <w:rFonts w:ascii="方正仿宋_GBK" w:hAnsi="方正仿宋_GBK"/>
                <w:sz w:val="22"/>
                <w:szCs w:val="22"/>
              </w:rPr>
              <w:t>新巴尔虎右旗已将内蒙古金山矿业有限公司额仁</w:t>
            </w:r>
            <w:proofErr w:type="gramStart"/>
            <w:r>
              <w:rPr>
                <w:rFonts w:ascii="方正仿宋_GBK" w:hAnsi="方正仿宋_GBK"/>
                <w:sz w:val="22"/>
                <w:szCs w:val="22"/>
              </w:rPr>
              <w:t>淘勒盖</w:t>
            </w:r>
            <w:proofErr w:type="gramEnd"/>
            <w:r>
              <w:rPr>
                <w:rFonts w:ascii="方正仿宋_GBK" w:hAnsi="方正仿宋_GBK"/>
                <w:sz w:val="22"/>
                <w:szCs w:val="22"/>
              </w:rPr>
              <w:t>难选低品位氧化锰银矿及尾矿综合利用项目综合能耗列入</w:t>
            </w:r>
            <w:r>
              <w:rPr>
                <w:rFonts w:ascii="方正仿宋_GBK" w:hAnsi="方正仿宋_GBK"/>
                <w:sz w:val="22"/>
                <w:szCs w:val="22"/>
              </w:rPr>
              <w:t>“</w:t>
            </w:r>
            <w:r>
              <w:rPr>
                <w:rFonts w:ascii="方正仿宋_GBK" w:hAnsi="方正仿宋_GBK"/>
                <w:sz w:val="22"/>
                <w:szCs w:val="22"/>
              </w:rPr>
              <w:t>十四五</w:t>
            </w:r>
            <w:r>
              <w:rPr>
                <w:rFonts w:ascii="方正仿宋_GBK" w:hAnsi="方正仿宋_GBK"/>
                <w:sz w:val="22"/>
                <w:szCs w:val="22"/>
              </w:rPr>
              <w:t>”</w:t>
            </w:r>
            <w:r>
              <w:rPr>
                <w:rFonts w:ascii="方正仿宋_GBK" w:hAnsi="方正仿宋_GBK"/>
                <w:sz w:val="22"/>
                <w:szCs w:val="22"/>
              </w:rPr>
              <w:t>能耗预算管理，完成对该项目</w:t>
            </w:r>
            <w:r>
              <w:rPr>
                <w:rFonts w:ascii="方正仿宋_GBK" w:hAnsi="方正仿宋_GBK"/>
                <w:sz w:val="22"/>
                <w:szCs w:val="22"/>
              </w:rPr>
              <w:t>2022</w:t>
            </w:r>
            <w:r>
              <w:rPr>
                <w:rFonts w:ascii="方正仿宋_GBK" w:hAnsi="方正仿宋_GBK"/>
                <w:sz w:val="22"/>
                <w:szCs w:val="22"/>
              </w:rPr>
              <w:t>年度节能监察，完成整改。</w:t>
            </w:r>
          </w:p>
          <w:p w:rsidR="006C011D" w:rsidRDefault="006C011D">
            <w:pPr>
              <w:autoSpaceDE w:val="0"/>
              <w:spacing w:line="540" w:lineRule="exact"/>
              <w:rPr>
                <w:rFonts w:ascii="方正仿宋_GBK" w:hAnsi="方正仿宋_GBK"/>
                <w:sz w:val="22"/>
                <w:szCs w:val="22"/>
              </w:rPr>
            </w:pPr>
            <w:r>
              <w:rPr>
                <w:rFonts w:ascii="方正仿宋_GBK" w:hAnsi="方正仿宋_GBK"/>
                <w:b/>
                <w:bCs/>
                <w:sz w:val="22"/>
                <w:szCs w:val="22"/>
              </w:rPr>
              <w:t>乌海市：</w:t>
            </w:r>
            <w:r>
              <w:rPr>
                <w:rFonts w:ascii="方正仿宋_GBK" w:hAnsi="方正仿宋_GBK"/>
                <w:sz w:val="22"/>
                <w:szCs w:val="22"/>
              </w:rPr>
              <w:t>2</w:t>
            </w:r>
            <w:r>
              <w:rPr>
                <w:rFonts w:ascii="方正仿宋_GBK" w:hAnsi="方正仿宋_GBK"/>
                <w:sz w:val="22"/>
                <w:szCs w:val="22"/>
              </w:rPr>
              <w:t>个项目均已取得</w:t>
            </w:r>
            <w:proofErr w:type="gramStart"/>
            <w:r>
              <w:rPr>
                <w:rFonts w:ascii="方正仿宋_GBK" w:hAnsi="方正仿宋_GBK"/>
                <w:sz w:val="22"/>
                <w:szCs w:val="22"/>
              </w:rPr>
              <w:t>自治区发改委</w:t>
            </w:r>
            <w:proofErr w:type="gramEnd"/>
            <w:r>
              <w:rPr>
                <w:rFonts w:ascii="方正仿宋_GBK" w:hAnsi="方正仿宋_GBK"/>
                <w:sz w:val="22"/>
                <w:szCs w:val="22"/>
              </w:rPr>
              <w:t>节能审查批复，完成</w:t>
            </w:r>
            <w:r>
              <w:rPr>
                <w:rFonts w:ascii="方正仿宋_GBK" w:hAnsi="方正仿宋_GBK"/>
                <w:sz w:val="22"/>
                <w:szCs w:val="22"/>
              </w:rPr>
              <w:t>2</w:t>
            </w:r>
            <w:r>
              <w:rPr>
                <w:rFonts w:ascii="方正仿宋_GBK" w:hAnsi="方正仿宋_GBK"/>
                <w:sz w:val="22"/>
                <w:szCs w:val="22"/>
              </w:rPr>
              <w:t>个项目</w:t>
            </w:r>
            <w:r>
              <w:rPr>
                <w:rFonts w:ascii="方正仿宋_GBK" w:hAnsi="方正仿宋_GBK"/>
                <w:sz w:val="22"/>
                <w:szCs w:val="22"/>
              </w:rPr>
              <w:t>2022</w:t>
            </w:r>
            <w:r>
              <w:rPr>
                <w:rFonts w:ascii="方正仿宋_GBK" w:hAnsi="方正仿宋_GBK"/>
                <w:sz w:val="22"/>
                <w:szCs w:val="22"/>
              </w:rPr>
              <w:t>年度节能监察，完成整改。</w:t>
            </w:r>
          </w:p>
        </w:tc>
      </w:tr>
    </w:tbl>
    <w:p w:rsidR="006C011D" w:rsidRDefault="006C011D" w:rsidP="006C011D">
      <w:pPr>
        <w:autoSpaceDE w:val="0"/>
        <w:adjustRightInd w:val="0"/>
        <w:snapToGrid w:val="0"/>
        <w:spacing w:line="20" w:lineRule="exact"/>
        <w:rPr>
          <w:rFonts w:ascii="方正仿宋_GBK" w:hAnsi="方正仿宋_GBK" w:hint="eastAsia"/>
          <w:sz w:val="28"/>
          <w:szCs w:val="28"/>
        </w:rPr>
      </w:pPr>
      <w:r>
        <w:rPr>
          <w:rFonts w:ascii="方正仿宋_GBK" w:hAnsi="方正仿宋_GBK"/>
          <w:sz w:val="28"/>
          <w:szCs w:val="28"/>
        </w:rPr>
        <w:t xml:space="preserve"> </w:t>
      </w:r>
    </w:p>
    <w:p w:rsidR="00827EAF" w:rsidRPr="006C011D" w:rsidRDefault="00827EAF"/>
    <w:sectPr w:rsidR="00827EAF" w:rsidRPr="006C011D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011D"/>
    <w:rsid w:val="001E18AC"/>
    <w:rsid w:val="00283AAD"/>
    <w:rsid w:val="00326C8A"/>
    <w:rsid w:val="005D1C31"/>
    <w:rsid w:val="006C011D"/>
    <w:rsid w:val="0075355B"/>
    <w:rsid w:val="007A6164"/>
    <w:rsid w:val="00827EAF"/>
    <w:rsid w:val="00E031BB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C011D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unhideWhenUsed/>
    <w:rsid w:val="006C011D"/>
    <w:pPr>
      <w:spacing w:before="100" w:beforeAutospacing="1" w:after="120" w:line="660" w:lineRule="exact"/>
      <w:ind w:firstLineChars="200" w:firstLine="883"/>
    </w:pPr>
    <w:rPr>
      <w:rFonts w:ascii="仿宋_GB2312" w:eastAsia="仿宋_GB2312" w:hAnsi="宋体"/>
      <w:b/>
      <w:bCs/>
      <w:sz w:val="36"/>
      <w:szCs w:val="36"/>
    </w:rPr>
  </w:style>
  <w:style w:type="character" w:customStyle="1" w:styleId="Char">
    <w:name w:val="正文文本 Char"/>
    <w:basedOn w:val="a1"/>
    <w:link w:val="a0"/>
    <w:uiPriority w:val="99"/>
    <w:rsid w:val="006C011D"/>
    <w:rPr>
      <w:rFonts w:ascii="仿宋_GB2312" w:eastAsia="仿宋_GB2312" w:hAnsi="宋体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2</cp:revision>
  <dcterms:created xsi:type="dcterms:W3CDTF">2023-02-14T06:55:00Z</dcterms:created>
  <dcterms:modified xsi:type="dcterms:W3CDTF">2023-02-14T06:55:00Z</dcterms:modified>
</cp:coreProperties>
</file>