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17" w:rsidRPr="00D10217" w:rsidRDefault="00D10217" w:rsidP="00D10217">
      <w:pPr>
        <w:spacing w:beforeLines="250" w:before="780"/>
        <w:jc w:val="distribute"/>
        <w:rPr>
          <w:rFonts w:ascii="Times New Roman" w:eastAsia="华文中宋" w:hAnsi="Times New Roman"/>
          <w:color w:val="FF0000"/>
          <w:spacing w:val="-16"/>
          <w:w w:val="70"/>
          <w:sz w:val="108"/>
          <w:szCs w:val="110"/>
        </w:rPr>
      </w:pPr>
      <w:bookmarkStart w:id="0" w:name="Gwzh"/>
      <w:r w:rsidRPr="00D10217">
        <w:rPr>
          <w:rFonts w:ascii="Times New Roman" w:eastAsia="华文中宋" w:hAnsi="Times New Roman" w:hint="eastAsia"/>
          <w:color w:val="FF0000"/>
          <w:spacing w:val="-16"/>
          <w:w w:val="70"/>
          <w:sz w:val="108"/>
          <w:szCs w:val="110"/>
        </w:rPr>
        <w:t>江苏省工业和信息化厅文件</w:t>
      </w:r>
    </w:p>
    <w:p w:rsidR="00D10217" w:rsidRPr="00D10217" w:rsidRDefault="00D10217" w:rsidP="00D10217">
      <w:pPr>
        <w:spacing w:line="20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D10217" w:rsidRPr="00D10217" w:rsidRDefault="00D10217" w:rsidP="00D10217">
      <w:pPr>
        <w:spacing w:beforeLines="100" w:before="312"/>
        <w:jc w:val="center"/>
        <w:rPr>
          <w:rFonts w:ascii="Times New Roman" w:hAnsi="Times New Roman"/>
          <w:sz w:val="32"/>
          <w:szCs w:val="32"/>
        </w:rPr>
      </w:pPr>
      <w:r w:rsidRPr="00D10217">
        <w:rPr>
          <w:rFonts w:ascii="Times New Roman" w:eastAsia="方正仿宋_GBK" w:hAnsi="Times New Roman" w:hint="eastAsia"/>
          <w:sz w:val="32"/>
          <w:szCs w:val="32"/>
        </w:rPr>
        <w:t>苏工信节能〔</w:t>
      </w:r>
      <w:r w:rsidRPr="00D10217">
        <w:rPr>
          <w:rFonts w:ascii="Times New Roman" w:eastAsia="方正仿宋_GBK" w:hAnsi="Times New Roman"/>
          <w:sz w:val="32"/>
          <w:szCs w:val="32"/>
        </w:rPr>
        <w:t>20</w:t>
      </w:r>
      <w:r w:rsidRPr="00D10217">
        <w:rPr>
          <w:rFonts w:ascii="Times New Roman" w:eastAsia="方正仿宋_GBK" w:hAnsi="Times New Roman" w:hint="eastAsia"/>
          <w:sz w:val="32"/>
          <w:szCs w:val="32"/>
        </w:rPr>
        <w:t>23</w:t>
      </w:r>
      <w:r w:rsidRPr="00D10217">
        <w:rPr>
          <w:rFonts w:ascii="Times New Roman" w:eastAsia="方正仿宋_GBK" w:hAnsi="Times New Roman" w:hint="eastAsia"/>
          <w:sz w:val="32"/>
          <w:szCs w:val="32"/>
        </w:rPr>
        <w:t>〕</w:t>
      </w:r>
      <w:r w:rsidRPr="00D10217">
        <w:rPr>
          <w:rFonts w:ascii="Times New Roman" w:eastAsia="方正仿宋_GBK" w:hAnsi="Times New Roman" w:hint="eastAsia"/>
          <w:sz w:val="32"/>
          <w:szCs w:val="32"/>
        </w:rPr>
        <w:t>22</w:t>
      </w:r>
      <w:r w:rsidRPr="00D10217">
        <w:rPr>
          <w:rFonts w:ascii="Times New Roman" w:eastAsia="方正仿宋_GBK" w:hAnsi="Times New Roman" w:hint="eastAsia"/>
          <w:sz w:val="32"/>
          <w:szCs w:val="32"/>
        </w:rPr>
        <w:t>号</w:t>
      </w:r>
    </w:p>
    <w:tbl>
      <w:tblPr>
        <w:tblW w:w="5000" w:type="pct"/>
        <w:jc w:val="center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9060"/>
      </w:tblGrid>
      <w:tr w:rsidR="00D10217" w:rsidRPr="00D10217" w:rsidTr="00D10217">
        <w:trPr>
          <w:jc w:val="center"/>
        </w:trPr>
        <w:tc>
          <w:tcPr>
            <w:tcW w:w="5000" w:type="pct"/>
            <w:tcBorders>
              <w:top w:val="single" w:sz="18" w:space="0" w:color="FF0000"/>
            </w:tcBorders>
          </w:tcPr>
          <w:p w:rsidR="00D10217" w:rsidRPr="00D10217" w:rsidRDefault="00D10217" w:rsidP="00D10217">
            <w:pPr>
              <w:ind w:firstLine="420"/>
              <w:rPr>
                <w:rFonts w:ascii="Times New Roman" w:hAnsi="Times New Roman"/>
              </w:rPr>
            </w:pPr>
          </w:p>
        </w:tc>
      </w:tr>
      <w:bookmarkEnd w:id="0"/>
    </w:tbl>
    <w:p w:rsidR="00D10217" w:rsidRPr="00D10217" w:rsidRDefault="00D10217" w:rsidP="00D10217">
      <w:pPr>
        <w:widowControl/>
        <w:spacing w:line="590" w:lineRule="exact"/>
        <w:jc w:val="center"/>
        <w:outlineLvl w:val="0"/>
        <w:rPr>
          <w:rFonts w:ascii="Times New Roman" w:eastAsia="方正小标宋_GBK" w:hAnsi="Times New Roman"/>
          <w:bCs/>
          <w:kern w:val="36"/>
          <w:sz w:val="44"/>
          <w:szCs w:val="44"/>
        </w:rPr>
      </w:pPr>
    </w:p>
    <w:p w:rsidR="00773AB0" w:rsidRPr="00D10217" w:rsidRDefault="00773AB0" w:rsidP="00D10217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10217">
        <w:rPr>
          <w:rFonts w:ascii="Times New Roman" w:eastAsia="方正小标宋_GBK" w:hAnsi="Times New Roman"/>
          <w:sz w:val="44"/>
          <w:szCs w:val="44"/>
          <w:lang w:bidi="ar"/>
        </w:rPr>
        <w:t>关于公布江苏省绿色工厂名单</w:t>
      </w:r>
    </w:p>
    <w:p w:rsidR="00773AB0" w:rsidRPr="00D10217" w:rsidRDefault="000F0500" w:rsidP="00D10217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10217">
        <w:rPr>
          <w:rFonts w:ascii="Times New Roman" w:eastAsia="方正小标宋_GBK" w:hAnsi="Times New Roman"/>
          <w:sz w:val="44"/>
          <w:szCs w:val="44"/>
          <w:lang w:bidi="ar"/>
        </w:rPr>
        <w:t>（第</w:t>
      </w:r>
      <w:r w:rsidRPr="00D10217">
        <w:rPr>
          <w:rFonts w:ascii="Times New Roman" w:eastAsia="方正小标宋_GBK" w:hAnsi="Times New Roman" w:hint="eastAsia"/>
          <w:sz w:val="44"/>
          <w:szCs w:val="44"/>
          <w:lang w:bidi="ar"/>
        </w:rPr>
        <w:t>三</w:t>
      </w:r>
      <w:r w:rsidR="00773AB0" w:rsidRPr="00D10217">
        <w:rPr>
          <w:rFonts w:ascii="Times New Roman" w:eastAsia="方正小标宋_GBK" w:hAnsi="Times New Roman"/>
          <w:sz w:val="44"/>
          <w:szCs w:val="44"/>
          <w:lang w:bidi="ar"/>
        </w:rPr>
        <w:t>批）的通知</w:t>
      </w:r>
    </w:p>
    <w:p w:rsidR="00773AB0" w:rsidRPr="00D10217" w:rsidRDefault="00773AB0" w:rsidP="00D10217">
      <w:pPr>
        <w:adjustRightInd w:val="0"/>
        <w:snapToGrid w:val="0"/>
        <w:spacing w:line="590" w:lineRule="exact"/>
        <w:ind w:leftChars="-200" w:left="460" w:hangingChars="200" w:hanging="880"/>
        <w:rPr>
          <w:rFonts w:ascii="Times New Roman" w:eastAsia="方正小标宋_GBK" w:hAnsi="Times New Roman"/>
          <w:sz w:val="44"/>
          <w:szCs w:val="44"/>
        </w:rPr>
      </w:pPr>
      <w:r w:rsidRPr="00D10217">
        <w:rPr>
          <w:rFonts w:ascii="Times New Roman" w:eastAsia="方正小标宋_GBK" w:hAnsi="Times New Roman"/>
          <w:sz w:val="44"/>
          <w:szCs w:val="44"/>
          <w:lang w:bidi="ar"/>
        </w:rPr>
        <w:t xml:space="preserve"> </w:t>
      </w:r>
    </w:p>
    <w:p w:rsidR="00807E47" w:rsidRDefault="00807E47" w:rsidP="00807E47">
      <w:pPr>
        <w:ind w:left="218" w:hanging="217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各设区市工信局：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为引导企业绿色转型，加快推进工业绿色发展，根据《关于印发江苏省绿色制造体系建设实施方案的通知》（苏经信节能〔</w:t>
      </w:r>
      <w:r>
        <w:rPr>
          <w:rFonts w:ascii="Times New Roman" w:eastAsia="等线" w:hAnsi="Times New Roman" w:cs="Times New Roman"/>
          <w:kern w:val="0"/>
          <w:sz w:val="32"/>
          <w:szCs w:val="32"/>
          <w:lang w:bidi="ar"/>
        </w:rPr>
        <w:t>2016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〕</w:t>
      </w:r>
      <w:r>
        <w:rPr>
          <w:rFonts w:ascii="Times New Roman" w:eastAsia="等线" w:hAnsi="Times New Roman" w:cs="Times New Roman"/>
          <w:kern w:val="0"/>
          <w:sz w:val="32"/>
          <w:szCs w:val="32"/>
          <w:lang w:bidi="ar"/>
        </w:rPr>
        <w:t>725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号）和《关于开展第三批省级绿色工厂推荐工作的通知》（苏工信节能〔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398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号），各地积极推进绿色工厂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培育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建设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，在企业自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评、地方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初审推荐基础上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，经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组织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专家评审、专题会审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公示等程序，确定</w:t>
      </w:r>
      <w:r w:rsidRPr="00317AEE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  <w:t>国电南瑞南京控制系统有限公司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301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家企业为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年（第三批）江苏省绿色工厂，现将名单予以公布，并就有关事项通知如下：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一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高度重视绿色制造体系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建设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工作。工业绿色发展是全面推进高质量发展，实现碳达峰碳中和目标的必然途径，加强绿色制造体系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建设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是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实现工业绿色发展的具体举措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各地工业和信息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lastRenderedPageBreak/>
        <w:t>化主管部门要加强对绿色制造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体系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名单内企业（园区）的指导，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督促企业按照建设计划和目标，采取有效的节能减排措施，持续提升自身绿色发展水平，充分发挥绿色示范作用，助力行业和区域碳达峰碳中和工作。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认真落实年度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工作总结报送制度。督促相关企业（园区）每年制定落实绿色化工作年度目标及工作方案，推动企业（园区）持续保持并不断提升绿色制造水平。请各设区市于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日前将本地区绿色制造名单内企业（园区）的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年度总结及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年度计划汇总表（附件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）报送我厅（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含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年江苏省绿色工厂（第三批））。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、建立完善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绿色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工厂培育储备制度。做好绿色制造名单培育和储备工作，选择管理层绿色意识强、绿色化基础条件好的企业（园区）纳入培育计划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，并加强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服务指导，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对照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评价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标准要求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对标找差，制定创建计划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，针对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性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落实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改进提升措施。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请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于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日前，将本地区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年度绿色工厂培育计划汇总表（附件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）报送我厅，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同等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条件下，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年度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省级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绿色工厂将优先从培育计划名单中遴选。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四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、加强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动态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监督管理。各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地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要加强对已公告绿色制造名单的跟踪指导和动态管理，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按要求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及时通过工业节能与绿色发展管理平台（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https://green.miit.gov.cn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）填报绿色制造水平关键指标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完成情况，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对动态管理表中明确的各项关键指标进行审核，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对于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达不到要求的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要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组织现场评估，对不再符合评价要求的企业（园区），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lastRenderedPageBreak/>
        <w:t>各地要及时将情况反馈我厅。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、列入江苏省绿色工厂名单的企业可按我厅规定的样式自行制作标牌，具体样式可在厅网站下载。</w:t>
      </w: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联系人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：韩杰</w:t>
      </w:r>
      <w:r w:rsidR="000658D8"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025-69652992 </w:t>
      </w:r>
    </w:p>
    <w:p w:rsidR="00807E47" w:rsidRDefault="00807E47" w:rsidP="00807E47">
      <w:pPr>
        <w:ind w:firstLine="640"/>
        <w:rPr>
          <w:rFonts w:ascii="方正仿宋_GBK" w:eastAsia="方正仿宋_GBK" w:hAnsi="方正仿宋_GBK" w:cs="方正仿宋_GBK"/>
          <w:sz w:val="32"/>
          <w:szCs w:val="32"/>
          <w:lang w:bidi="ar"/>
        </w:rPr>
      </w:pPr>
    </w:p>
    <w:p w:rsidR="00807E47" w:rsidRDefault="00807E47" w:rsidP="00807E47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年江苏省绿色工厂名单（第三批）</w:t>
      </w:r>
    </w:p>
    <w:p w:rsidR="00807E47" w:rsidRDefault="00807E47" w:rsidP="00807E47">
      <w:pPr>
        <w:ind w:leftChars="761" w:left="2097" w:hanging="499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．绿色工厂（园区、供应链）年度总结及下年度计划汇总表</w:t>
      </w:r>
    </w:p>
    <w:p w:rsidR="00807E47" w:rsidRDefault="00807E47" w:rsidP="00807E47">
      <w:pPr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年度绿色工厂培育计划汇总表</w:t>
      </w:r>
    </w:p>
    <w:p w:rsidR="00807E47" w:rsidRPr="00992CDA" w:rsidRDefault="00807E47" w:rsidP="00992CD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</w:t>
      </w:r>
    </w:p>
    <w:p w:rsidR="00807E47" w:rsidRPr="00992CDA" w:rsidRDefault="00807E47" w:rsidP="00992CD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 w:rsidRPr="00992CDA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</w:t>
      </w:r>
    </w:p>
    <w:p w:rsidR="00807E47" w:rsidRPr="00992CDA" w:rsidRDefault="00807E47" w:rsidP="00992CDA">
      <w:pPr>
        <w:spacing w:line="600" w:lineRule="exact"/>
        <w:ind w:leftChars="2128" w:left="4469" w:firstLineChars="105" w:firstLine="336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</w:t>
      </w:r>
      <w:r w:rsidRPr="00992CDA"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江苏省工业和信息化厅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</w:t>
      </w:r>
    </w:p>
    <w:p w:rsidR="00807E47" w:rsidRDefault="00807E47" w:rsidP="00807E47">
      <w:pPr>
        <w:spacing w:line="600" w:lineRule="exact"/>
        <w:ind w:firstLineChars="1506" w:firstLine="4819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日</w:t>
      </w:r>
    </w:p>
    <w:p w:rsidR="007B712C" w:rsidRPr="00D10217" w:rsidRDefault="007B712C" w:rsidP="0010557A">
      <w:pPr>
        <w:jc w:val="center"/>
        <w:rPr>
          <w:rFonts w:ascii="Times New Roman" w:eastAsia="方正小标宋_GBK" w:hAnsi="Times New Roman" w:cs="Times New Roman"/>
          <w:color w:val="070707"/>
          <w:sz w:val="44"/>
          <w:szCs w:val="44"/>
        </w:rPr>
      </w:pPr>
    </w:p>
    <w:p w:rsidR="007B712C" w:rsidRPr="00D10217" w:rsidRDefault="007B712C" w:rsidP="0010557A">
      <w:pPr>
        <w:jc w:val="center"/>
        <w:rPr>
          <w:rFonts w:ascii="Times New Roman" w:eastAsia="方正小标宋_GBK" w:hAnsi="Times New Roman" w:cs="Times New Roman"/>
          <w:color w:val="070707"/>
          <w:sz w:val="44"/>
          <w:szCs w:val="44"/>
        </w:rPr>
      </w:pPr>
    </w:p>
    <w:p w:rsidR="007B712C" w:rsidRPr="00D10217" w:rsidRDefault="007B712C" w:rsidP="00BC7B7B">
      <w:pPr>
        <w:rPr>
          <w:rFonts w:ascii="Times New Roman" w:eastAsia="方正小标宋_GBK" w:hAnsi="Times New Roman" w:cs="Times New Roman"/>
          <w:color w:val="070707"/>
          <w:sz w:val="44"/>
          <w:szCs w:val="44"/>
        </w:rPr>
      </w:pPr>
    </w:p>
    <w:p w:rsidR="00D10217" w:rsidRPr="00D10217" w:rsidRDefault="00D10217">
      <w:pPr>
        <w:widowControl/>
        <w:jc w:val="left"/>
        <w:rPr>
          <w:rFonts w:ascii="Times New Roman" w:eastAsia="方正黑体_GBK" w:hAnsi="Times New Roman" w:cs="Times New Roman"/>
          <w:color w:val="070707"/>
          <w:sz w:val="36"/>
          <w:szCs w:val="36"/>
        </w:rPr>
      </w:pPr>
      <w:r w:rsidRPr="00D10217">
        <w:rPr>
          <w:rFonts w:ascii="Times New Roman" w:eastAsia="方正黑体_GBK" w:hAnsi="Times New Roman" w:cs="Times New Roman"/>
          <w:color w:val="070707"/>
          <w:sz w:val="36"/>
          <w:szCs w:val="36"/>
        </w:rPr>
        <w:br w:type="page"/>
      </w:r>
    </w:p>
    <w:p w:rsidR="007B712C" w:rsidRDefault="007B712C" w:rsidP="007B712C">
      <w:pPr>
        <w:jc w:val="left"/>
        <w:rPr>
          <w:rFonts w:ascii="Times New Roman" w:eastAsia="方正黑体_GBK" w:hAnsi="Times New Roman" w:cs="Times New Roman"/>
          <w:color w:val="070707"/>
          <w:sz w:val="32"/>
          <w:szCs w:val="32"/>
        </w:rPr>
      </w:pPr>
      <w:r w:rsidRPr="00D10217">
        <w:rPr>
          <w:rFonts w:ascii="Times New Roman" w:eastAsia="方正黑体_GBK" w:hAnsi="Times New Roman" w:cs="Times New Roman" w:hint="eastAsia"/>
          <w:color w:val="070707"/>
          <w:sz w:val="32"/>
          <w:szCs w:val="32"/>
        </w:rPr>
        <w:lastRenderedPageBreak/>
        <w:t>附件</w:t>
      </w:r>
      <w:r w:rsidRPr="00D10217">
        <w:rPr>
          <w:rFonts w:ascii="Times New Roman" w:eastAsia="方正黑体_GBK" w:hAnsi="Times New Roman" w:cs="Times New Roman" w:hint="eastAsia"/>
          <w:color w:val="070707"/>
          <w:sz w:val="32"/>
          <w:szCs w:val="32"/>
        </w:rPr>
        <w:t>1</w:t>
      </w:r>
    </w:p>
    <w:p w:rsidR="00AC09E3" w:rsidRPr="00D10217" w:rsidRDefault="00AC09E3" w:rsidP="007B712C">
      <w:pPr>
        <w:jc w:val="left"/>
        <w:rPr>
          <w:rFonts w:ascii="Times New Roman" w:eastAsia="方正黑体_GBK" w:hAnsi="Times New Roman" w:cs="Times New Roman"/>
          <w:color w:val="070707"/>
          <w:sz w:val="32"/>
          <w:szCs w:val="32"/>
        </w:rPr>
      </w:pPr>
    </w:p>
    <w:p w:rsidR="00050145" w:rsidRPr="00D10217" w:rsidRDefault="009A4070" w:rsidP="00807E47">
      <w:pPr>
        <w:spacing w:afterLines="50" w:after="156"/>
        <w:jc w:val="center"/>
        <w:rPr>
          <w:rFonts w:ascii="Times New Roman" w:eastAsia="方正小标宋_GBK" w:hAnsi="Times New Roman" w:cs="Times New Roman"/>
          <w:color w:val="070707"/>
          <w:sz w:val="36"/>
          <w:szCs w:val="36"/>
        </w:rPr>
      </w:pPr>
      <w:r w:rsidRPr="00D10217">
        <w:rPr>
          <w:rFonts w:ascii="Times New Roman" w:eastAsia="方正黑体_GBK" w:hAnsi="Times New Roman" w:cs="Times New Roman"/>
          <w:color w:val="070707"/>
          <w:sz w:val="36"/>
          <w:szCs w:val="36"/>
        </w:rPr>
        <w:t>江苏省绿色工厂</w:t>
      </w:r>
      <w:r w:rsidR="00EC08C0" w:rsidRPr="00D10217">
        <w:rPr>
          <w:rFonts w:ascii="Times New Roman" w:eastAsia="方正黑体_GBK" w:hAnsi="Times New Roman" w:cs="Times New Roman"/>
          <w:color w:val="070707"/>
          <w:sz w:val="36"/>
          <w:szCs w:val="36"/>
        </w:rPr>
        <w:t>名单</w:t>
      </w:r>
      <w:r w:rsidRPr="00D10217">
        <w:rPr>
          <w:rFonts w:ascii="Times New Roman" w:eastAsia="方正黑体_GBK" w:hAnsi="Times New Roman" w:cs="Times New Roman"/>
          <w:color w:val="070707"/>
          <w:sz w:val="36"/>
          <w:szCs w:val="36"/>
        </w:rPr>
        <w:t>（第</w:t>
      </w:r>
      <w:r w:rsidR="00D818E8" w:rsidRPr="00D10217">
        <w:rPr>
          <w:rFonts w:ascii="Times New Roman" w:eastAsia="方正黑体_GBK" w:hAnsi="Times New Roman" w:cs="Times New Roman"/>
          <w:color w:val="070707"/>
          <w:sz w:val="36"/>
          <w:szCs w:val="36"/>
        </w:rPr>
        <w:t>三</w:t>
      </w:r>
      <w:r w:rsidRPr="00D10217">
        <w:rPr>
          <w:rFonts w:ascii="Times New Roman" w:eastAsia="方正黑体_GBK" w:hAnsi="Times New Roman" w:cs="Times New Roman"/>
          <w:color w:val="070707"/>
          <w:sz w:val="36"/>
          <w:szCs w:val="36"/>
        </w:rPr>
        <w:t>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6148"/>
        <w:gridCol w:w="1875"/>
      </w:tblGrid>
      <w:tr w:rsidR="007A1719" w:rsidRPr="00D10217" w:rsidTr="00807E47">
        <w:trPr>
          <w:tblHeader/>
        </w:trPr>
        <w:tc>
          <w:tcPr>
            <w:tcW w:w="572" w:type="pct"/>
            <w:shd w:val="clear" w:color="auto" w:fill="auto"/>
            <w:noWrap/>
            <w:vAlign w:val="center"/>
            <w:hideMark/>
          </w:tcPr>
          <w:p w:rsidR="007A1719" w:rsidRPr="00807E4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方正黑体_GBK" w:eastAsia="方正黑体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07E47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3" w:type="pct"/>
            <w:shd w:val="clear" w:color="auto" w:fill="auto"/>
            <w:noWrap/>
            <w:vAlign w:val="center"/>
            <w:hideMark/>
          </w:tcPr>
          <w:p w:rsidR="007A1719" w:rsidRPr="00807E4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方正黑体_GBK" w:eastAsia="方正黑体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07E47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807E4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方正黑体_GBK" w:eastAsia="方正黑体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07E47">
              <w:rPr>
                <w:rFonts w:ascii="方正黑体_GBK" w:eastAsia="方正黑体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国电南瑞南京控制系统有限公司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金佰利（南京）护理用品有限公司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南京南瑞继保电气有限公司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南京卫岗乳业有限公司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南京国电南自电网自动化有限公司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江苏金智科技股份有限公司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徐工集团凯宫重工南京股份有限公司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江苏双龙集团有限公司南京混凝土分公司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南京圣知锐建材实业有限公司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JS2022009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博世华域转向系统有限公司南京分公司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博世汽车技术服务（中国）有限公司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杉金光电（南京）有限公司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金陵药业股份有限公司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扬子江药业集团南京海陵药业有限公司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南京我乐家居智能制造有限公司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南京金龙客车制造有限公司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江苏久吾高科技股份有限公司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南京南钢嘉华新型建材有限公司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南京大旺食品有限公司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JS2022019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中铁宝桥（南京）有限公司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南京天加环境科技有限公司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艾欧史密斯（中国）环境电器有限公司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中车南京浦镇车辆有限公司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江苏长强钢铁有限公司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中国贝卡尔特钢帘线有限公司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优彩环保资源科技股份有限公司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江阴名鸿车顶系统有限公司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江阴金童石化装备有限公司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江阴市强力化纤有限公司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JS2022029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江苏荣宜电缆有限公司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江苏国能合金科技有限公司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江苏宝安电缆有限公司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江苏诺明高温材料股份有限公司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宜兴摩根热陶瓷有限公司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远东复合技术有限公司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宝艺新材料股份有限公司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无锡京运通科技有限公司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无锡新大力电机有限公司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江苏锡安达防爆股份有限公司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JS2022039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博耳（无锡）电力成套有限公司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凯龙高科技股份有限公司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无锡海达尔精密滑轨股份有限公司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江苏赛福天钢索股份有限公司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无锡市法兰锻造有限公司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约克（无锡）空调冷冻设备有限公司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无锡康明斯涡轮增压技术有限公司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电装天电子（无锡）有限公司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捷普电子（无锡）有限公司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江苏凤凰画材科技股份有限公司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JS2022049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江苏华宏科技股份有限公司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宇超电力股份有限公司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江苏铸鸿锻造有限公司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无锡市华琳制冷设备有限公司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健鼎（无锡）电子有限公司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无锡法雷奥汽车零配件系统有限公司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雄宇重工集团股份有限公司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无锡尚德太阳能电力有限公司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无锡先导智能装备股份有限公司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无锡凯绎科技有限公司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JS2022059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徐州南普机电科技有限公司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徐州科亚机电有限公司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江苏南方永磁科技有限公司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江苏德鲁尼智能家居有限公司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徐州博康信息化学品有限公司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徐工集团工程机械股份有限公司道路机械分公司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徐州徐工随车起重机有限公司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徐州徐工汽车制造有限公司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江苏华辰变压器股份有限公司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江苏珀然股份有限公司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JS2022069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徐州天虹智能纺织有限公司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利民化学有限责任公司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徐州徐工履带底盘有限公司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徐州徐工矿业机械有限公司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江苏恩华药业股份有限公司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江苏鑫华半导体科技股份有限公司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格利尔数码科技股份有限公司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江苏铭丰电子材料科技有限公司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东方日升（常州）新能源有限公司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重庆理想汽车有限公司常州分公司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JS2022079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常州回天新材料有限公司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江苏龙城精锻集团有限公司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江苏苏新轴座有限公司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光宝光电（常州）有限公司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江苏顺风新能源科技有限公司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贝内克长顺生态汽车内饰材料（常州）有限公司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江苏晶雪节能科技股份有限公司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江苏凯达重工股份有限公司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常州天马集团有限公司（原建材二五三厂）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常州市范群干燥设备有限公司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JS2022089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中车戚墅堰机车有限公司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常州博瑞电力自动化设备有限公司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江苏时代新能源科技有限公司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江苏盛德电子仪表有限公司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蜂巢能源科技股份有限公司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常州星宇车灯股份有限公司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常州钟恒新材料股份有限公司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江苏长海复合材料股份有限公司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江苏江南精密金属材料有限公司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长华化学科技股份有限公司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JS2022099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佐敦涂料（张家港）有限公司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常熟开关制造有限公司（原常熟开关厂）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常熟安通林汽车饰件有限公司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常熟建华模具科技股份有限公司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科力美汽车动力电池有限公司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大陆汽车系统（常熟）有限公司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江苏雪中飞制衣有限公司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苏州福斯特光伏材料有限公司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达涅利冶金设备</w:t>
            </w: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中国</w:t>
            </w: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江苏迎阳无纺机械有限公司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JS2022109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太仓中集集装箱制造有限公司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太仓海螺水泥有限责任公司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苏州宏达制酶有限公司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慕贝尔汽车部件（太仓）有限公司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富士和机械工业（昆山）有限公司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昆山科森科技股份有限公司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鼎镁新材料科技股份有限公司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南亚电路板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六丰金属科技（昆山）有限公司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六和铸造工业（昆山）有限公司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JS2022119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昆山长鹰硬质材料科技股份有限公司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昆山丘钛微电子科技股份有限公司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昆山沪光汽车电器股份有限公司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昆山陆新新材料科技有限公司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萨驰智能装备股份有限公司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江苏普诺威电子股份有限公司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昆山宝锦激光拼焊有限公司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江苏港虹纤维有限公司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吴江变压器有限公司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群光电能科技（苏州）有限公司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JS2022129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江苏诺贝尔塑业股份有限公司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苏州新民印染有限公司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江苏创源电子有限公司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苏州世华新材料科技股份有限公司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苏州巨联环保有限公司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江苏富威科技股份有限公司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苏州震纶生物质纤维有限公司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苏州普路通纺织科技有限公司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江苏海岸药业有限公司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苏州苏驼通信科技股份有限公司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JS2022139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爱信（苏州）汽车零部件有限公司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苏州朗威电子机械股份有限公司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苏州群策科技有限公司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苏州三星电子有限公司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铃木加普腾钢丝（苏州）有限公司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苏州生益科技有限公司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大金机电设备（苏州）有限公司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莹特丽化妆品（苏州）有限公司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普杰无纺布（中国）有限公司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SEW-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电机（苏州）有限公司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JS2022149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大金空调（苏州）有限公司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乐家洁具（苏州）有限公司（苏州工业园霞盛路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16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号）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力成科技（苏州）有限公司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赛峰飞机发动机（苏州）有限公司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江苏美的清洁电器股份有限公司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伊利苏州乳业有限责任公司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日月新半导体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爱尔铃克铃尔汽车部件（中国）有限公司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苏州西门子电器有限公司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苏州协鑫光伏科技有限公司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JS2022159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固德威技术股份有限公司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霍尼韦尔特性材料和技术（中国）有限公司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常熟生益科技有限公司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苏州中来光伏新材股份有限公司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苏州众捷汽车零部件股份有限公司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合兴汽车电子（太仓）有限公司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江苏申久（集团）有限公司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昆山国显光电有限公司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昆山龙腾光电股份有限公司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昆山六丰机械工业有限公司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JS2022169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昆山沪利微电有限公司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必成玻璃纤维（昆山）有限公司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昆山亿政咖啡有限公司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福伊特造纸（中国）有限公司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优德精密工业（昆山）股份有限公司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昆山科望快速印务有限公司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苏州中成新能源科技股份有限公司</w:t>
            </w: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苏州市合兴食品有限公司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苏州天山水泥有限公司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索格菲（苏州）汽车部件有限公司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JS2022179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江苏亨通电力智网科技有限公司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苏州华源控股股份有限公司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苏州嘉盛宝成建筑科技有限公司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史赛克（苏州）医疗技术有限公司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苏州华星光电技术有限公司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乔治费歇尔金属成型科技（苏州）有限公司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赛峰起落架系统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颀中科技（苏州）有限公司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苏州勤美达精密机械有限公司</w:t>
            </w: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力神电池（苏州）有限公司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JS2022189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江东金具设备有限公司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南通星球石墨股份有限公司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南通思瑞机器制造有限公司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科德宝宝翎衬布（南通）有限公司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中天射频电缆有限公司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中天科技海缆股份有限公司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南通远吉织染有限公司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江苏周黑鸭食品工业园有限公司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南通市乐能电力有限公司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中集安瑞环科技股份有限公司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JS2022199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江苏金秋弹性织物有限公司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招商局重工（江苏）有限公司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百威（南通）啤酒有限公司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南通市乐佳涂料有限公司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中天电力光缆有限公司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中天电气技术有限公司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南通星辰合成材料有限公司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南通天楹环保能源有限公司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宝钢集团南通线材制品有限公司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江苏通光光缆有限公司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JS2022209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中复神鹰碳纤维股份有限公司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东方国际集装箱（连云港）有限公司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江苏斯尔邦石化有限公司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连云港石化有限公司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江苏纽泰格科技股份有限公司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淮安凡之晟远大建筑工业有限公司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江苏康乃馨纺织科技有限公司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中盐淮安鸿运盐化有限公司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江苏三联新材料股份有限公司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江苏思源彩印包装有限公司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JS2022219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膳魔师（江苏）家庭制品有限公司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淮安威灵电机制造有限公司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江苏今世缘酒业股份有限公司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江苏润仪仪表有限公司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江苏红光仪表厂有限公司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江苏山河水泥有限公司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淮安旺旺食品有限公司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江苏正大清江制药有限公司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江苏新源太阳能科技有限公司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江苏汉邦科技股份有限公司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JS2022229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西派集团有限公司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江苏阿路美格新材料股份有限公司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彧寰科技江苏有限公司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江苏富乐德石英科技有限公司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江苏博汇纸业有限公司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江苏德和绝热科技有限公司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阜宁阿特斯阳光电力科技有限公司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响水中联水泥有限公司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238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苏北光缆有限公司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盐城正泰新能源科技有限公司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JS2022239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盐城金刚星精密锻造有限公司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江苏中天伯乐达变压器有限公司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江苏龙净科杰环保技术有限公司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江苏悦达起亚汽车有限公司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江苏润阳光伏科技有限公司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江苏库纳实业有限公司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江苏东强股份有限公司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扬州通利冷藏集装箱有限公司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江苏中兴派能电池有限公司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中环艾能（高邮）能源科技有限公司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JS2022249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扬州曙光电缆股份有限公司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招商局金陵鼎衡船舶（扬州）有限公司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扬州中远海运重工有限公司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中铁宝桥（扬州）有限公司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扬州天富龙科技纤维有限公司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扬州天富龙集团股份有限公司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江苏虎豹集团有限公司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江苏赛迪乐节能科技有限公司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江苏大力神科技股份有限公司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江苏全真光学科技股份有限公司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JS2022259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260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江苏超力电器有限公司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威腾电气集团股份有限公司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建华建材（中国）有限公司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江苏亿阀股份有限公司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江苏振光电力设备制造有限公司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江苏索普化工股份有限公司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镇江香江云动力科技有限公司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合瑞迈材料科技（江苏）有限公司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泰州市龙洋木业有限公司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江苏福坤新材料科技有限公司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JS2022269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江苏兴达钢帘线股份有限公司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东华链条兴化有限公司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江苏新宏大集团有限公司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江苏隆基乐叶光伏科技有限公司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泰州市华丽新材料有限公司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苏中药业集团股份有限公司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泰州鑫宇精工股份有限公司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泰州市旺鑫耐火材料有限公司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江苏海龙电器有限公司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江苏博格东进管道设备有限公司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JS2022279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江苏康普印刷科技股份有限公司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江苏锦耐新材料科技有限公司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282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江苏乐科节能科技股份有限公司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双乐颜料股份有限公司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江苏金桥焊材科技股份有限公司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泰州樱田农机制造有限公司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泰州金泰环保热电有限公司新型建材分公司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沭阳亚森同汇实业有限公司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江苏苏讯新材料科技股份有限公司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江苏华阳制药有限公司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JS2022289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江苏泗水纺织有限公司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江苏宏润光电科技有限公司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JS2022291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宿迁联盛科技股份有限公司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JS2022292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江苏北斗星通汽车电子有限公司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JS2022293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江苏茂源服饰有限公司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JS2022294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聚灿光电科技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JS2022295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格力大松（宿迁）生活电器有限公司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JS2022296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天合光能（宿迁）科技有限公司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JS2022297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宿迁亚森械友新材料有限公司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JS2022298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江苏吉福新材料股份有限公司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JS2022299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江苏米格新材料有限公司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JS2022300</w:t>
            </w:r>
          </w:p>
        </w:tc>
      </w:tr>
      <w:tr w:rsidR="007A1719" w:rsidRPr="00D10217" w:rsidTr="00807E47">
        <w:tc>
          <w:tcPr>
            <w:tcW w:w="572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江苏双星彩塑新材料股份有限公司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7A1719" w:rsidRPr="00D10217" w:rsidRDefault="007A1719" w:rsidP="00807E47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D1021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JS2022301</w:t>
            </w:r>
          </w:p>
        </w:tc>
      </w:tr>
    </w:tbl>
    <w:p w:rsidR="00050145" w:rsidRPr="00D10217" w:rsidRDefault="00050145" w:rsidP="0017382E">
      <w:pPr>
        <w:rPr>
          <w:rFonts w:ascii="Times New Roman" w:hAnsi="Times New Roman" w:cs="Times New Roman"/>
        </w:rPr>
      </w:pPr>
    </w:p>
    <w:p w:rsidR="001C7F1F" w:rsidRPr="00D10217" w:rsidRDefault="001C7F1F" w:rsidP="0017382E">
      <w:pPr>
        <w:rPr>
          <w:rFonts w:ascii="Times New Roman" w:hAnsi="Times New Roman" w:cs="Times New Roman"/>
        </w:rPr>
        <w:sectPr w:rsidR="001C7F1F" w:rsidRPr="00D10217" w:rsidSect="00D10217">
          <w:footerReference w:type="default" r:id="rId8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D10217">
        <w:rPr>
          <w:rFonts w:ascii="Times New Roman" w:hAnsi="Times New Roman" w:cs="Times New Roman"/>
        </w:rPr>
        <w:br w:type="page"/>
      </w:r>
    </w:p>
    <w:p w:rsidR="001C7F1F" w:rsidRPr="00D10217" w:rsidRDefault="001C7F1F" w:rsidP="001C7F1F">
      <w:pPr>
        <w:rPr>
          <w:rFonts w:ascii="Times New Roman" w:eastAsia="方正黑体_GBK" w:hAnsi="Times New Roman" w:cs="方正仿宋_GBK"/>
          <w:sz w:val="32"/>
          <w:szCs w:val="32"/>
        </w:rPr>
      </w:pPr>
      <w:r w:rsidRPr="00D10217">
        <w:rPr>
          <w:rFonts w:ascii="Times New Roman" w:eastAsia="方正黑体_GBK" w:hAnsi="Times New Roman" w:cs="方正仿宋_GBK" w:hint="eastAsia"/>
          <w:sz w:val="32"/>
          <w:szCs w:val="32"/>
        </w:rPr>
        <w:lastRenderedPageBreak/>
        <w:t>附件</w:t>
      </w:r>
      <w:r w:rsidRPr="00D10217">
        <w:rPr>
          <w:rFonts w:ascii="Times New Roman" w:eastAsia="方正黑体_GBK" w:hAnsi="Times New Roman" w:cs="方正仿宋_GBK"/>
          <w:sz w:val="32"/>
          <w:szCs w:val="32"/>
        </w:rPr>
        <w:t>2</w:t>
      </w:r>
    </w:p>
    <w:p w:rsidR="001C7F1F" w:rsidRPr="00D10217" w:rsidRDefault="001C7F1F" w:rsidP="001C7F1F">
      <w:pPr>
        <w:spacing w:line="580" w:lineRule="exact"/>
        <w:jc w:val="center"/>
        <w:rPr>
          <w:rFonts w:ascii="Times New Roman" w:eastAsia="方正黑体_GBK" w:hAnsi="Times New Roman"/>
          <w:sz w:val="36"/>
          <w:szCs w:val="36"/>
        </w:rPr>
      </w:pPr>
    </w:p>
    <w:p w:rsidR="001C7F1F" w:rsidRPr="00D10217" w:rsidRDefault="001C7F1F" w:rsidP="00AC09E3">
      <w:pPr>
        <w:adjustRightInd w:val="0"/>
        <w:snapToGrid w:val="0"/>
        <w:spacing w:afterLines="50" w:after="156"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10217">
        <w:rPr>
          <w:rFonts w:ascii="Times New Roman" w:eastAsia="方正黑体_GBK" w:hAnsi="Times New Roman" w:hint="eastAsia"/>
          <w:sz w:val="36"/>
          <w:szCs w:val="36"/>
        </w:rPr>
        <w:t>绿色工厂（园区、供应链）年度总结及下年度计划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4"/>
        <w:gridCol w:w="1539"/>
        <w:gridCol w:w="1627"/>
        <w:gridCol w:w="1298"/>
        <w:gridCol w:w="1159"/>
        <w:gridCol w:w="3002"/>
        <w:gridCol w:w="2132"/>
        <w:gridCol w:w="2923"/>
      </w:tblGrid>
      <w:tr w:rsidR="001C7F1F" w:rsidRPr="00D10217" w:rsidTr="000658D8">
        <w:trPr>
          <w:trHeight w:val="1080"/>
        </w:trPr>
        <w:tc>
          <w:tcPr>
            <w:tcW w:w="174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序号</w:t>
            </w:r>
          </w:p>
        </w:tc>
        <w:tc>
          <w:tcPr>
            <w:tcW w:w="543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绿色制造单位名称</w:t>
            </w:r>
          </w:p>
        </w:tc>
        <w:tc>
          <w:tcPr>
            <w:tcW w:w="574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所在市、县（区、市）</w:t>
            </w:r>
          </w:p>
        </w:tc>
        <w:tc>
          <w:tcPr>
            <w:tcW w:w="458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绿色制造类型</w:t>
            </w:r>
            <w:r w:rsidRPr="00AC09E3">
              <w:rPr>
                <w:rFonts w:ascii="Times New Roman" w:eastAsia="方正黑体_GBK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9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批次</w:t>
            </w:r>
            <w:r w:rsidRPr="00AC09E3">
              <w:rPr>
                <w:rFonts w:ascii="Times New Roman" w:eastAsia="方正黑体_GBK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59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本年度绿色化重点工作及成效（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400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字以内）</w:t>
            </w:r>
          </w:p>
        </w:tc>
        <w:tc>
          <w:tcPr>
            <w:tcW w:w="752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本年度主要消耗及排放指标</w:t>
            </w:r>
            <w:r w:rsidRPr="00AC09E3">
              <w:rPr>
                <w:rFonts w:ascii="Times New Roman" w:eastAsia="方正黑体_GBK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31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下一年度绿色化主要措施及目标（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300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字以内）</w:t>
            </w:r>
          </w:p>
        </w:tc>
      </w:tr>
      <w:tr w:rsidR="001C7F1F" w:rsidRPr="00D10217" w:rsidTr="000658D8">
        <w:trPr>
          <w:trHeight w:val="360"/>
        </w:trPr>
        <w:tc>
          <w:tcPr>
            <w:tcW w:w="1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43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58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0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5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752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31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</w:tr>
      <w:tr w:rsidR="001C7F1F" w:rsidRPr="00D10217" w:rsidTr="000658D8">
        <w:trPr>
          <w:trHeight w:val="360"/>
        </w:trPr>
        <w:tc>
          <w:tcPr>
            <w:tcW w:w="1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43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58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0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5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752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31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</w:tr>
      <w:tr w:rsidR="001C7F1F" w:rsidRPr="00D10217" w:rsidTr="000658D8">
        <w:trPr>
          <w:trHeight w:val="360"/>
        </w:trPr>
        <w:tc>
          <w:tcPr>
            <w:tcW w:w="1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43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58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0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5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752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31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</w:tr>
      <w:tr w:rsidR="001C7F1F" w:rsidRPr="00D10217" w:rsidTr="000658D8">
        <w:trPr>
          <w:trHeight w:val="360"/>
        </w:trPr>
        <w:tc>
          <w:tcPr>
            <w:tcW w:w="1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43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58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0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5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752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31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</w:tr>
      <w:tr w:rsidR="001C7F1F" w:rsidRPr="00D10217" w:rsidTr="000658D8">
        <w:trPr>
          <w:trHeight w:val="360"/>
        </w:trPr>
        <w:tc>
          <w:tcPr>
            <w:tcW w:w="1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43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574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58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40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59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752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1031" w:type="pct"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</w:tr>
    </w:tbl>
    <w:p w:rsidR="001C7F1F" w:rsidRPr="00D10217" w:rsidRDefault="001C7F1F" w:rsidP="001C7F1F">
      <w:pPr>
        <w:spacing w:line="400" w:lineRule="exact"/>
        <w:rPr>
          <w:rFonts w:ascii="Times New Roman" w:eastAsia="方正仿宋_GBK" w:hAnsi="Times New Roman"/>
          <w:kern w:val="0"/>
          <w:sz w:val="28"/>
          <w:szCs w:val="28"/>
        </w:rPr>
      </w:pPr>
      <w:r w:rsidRPr="00D10217">
        <w:rPr>
          <w:rFonts w:ascii="Times New Roman" w:eastAsia="方正仿宋_GBK" w:hAnsi="Times New Roman"/>
          <w:kern w:val="0"/>
          <w:sz w:val="28"/>
          <w:szCs w:val="28"/>
        </w:rPr>
        <w:t>注：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1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、绿色制造类型，按绿色工厂、绿色园区、绿色供应链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3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类选择填写；</w:t>
      </w:r>
    </w:p>
    <w:p w:rsidR="001C7F1F" w:rsidRPr="00D10217" w:rsidRDefault="001C7F1F" w:rsidP="001C7F1F">
      <w:pPr>
        <w:numPr>
          <w:ilvl w:val="0"/>
          <w:numId w:val="1"/>
        </w:numPr>
        <w:spacing w:line="400" w:lineRule="exact"/>
        <w:ind w:firstLineChars="200" w:firstLine="560"/>
        <w:rPr>
          <w:rFonts w:ascii="Times New Roman" w:eastAsia="方正仿宋_GBK" w:hAnsi="Times New Roman"/>
          <w:kern w:val="0"/>
          <w:sz w:val="28"/>
          <w:szCs w:val="28"/>
        </w:rPr>
      </w:pPr>
      <w:r w:rsidRPr="00D10217">
        <w:rPr>
          <w:rFonts w:ascii="Times New Roman" w:eastAsia="方正仿宋_GBK" w:hAnsi="Times New Roman"/>
          <w:kern w:val="0"/>
          <w:sz w:val="28"/>
          <w:szCs w:val="28"/>
        </w:rPr>
        <w:t>批次，工信部公布的名单，直接填写第几批，本次省公布的名单填</w:t>
      </w:r>
      <w:r w:rsidRPr="00D10217">
        <w:rPr>
          <w:rFonts w:ascii="Times New Roman" w:eastAsia="方正仿宋_GBK" w:hAnsi="Times New Roman" w:hint="eastAsia"/>
          <w:kern w:val="0"/>
          <w:sz w:val="28"/>
          <w:szCs w:val="28"/>
        </w:rPr>
        <w:t>“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省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3</w:t>
      </w:r>
      <w:r w:rsidRPr="00D10217">
        <w:rPr>
          <w:rFonts w:ascii="Times New Roman" w:eastAsia="方正仿宋_GBK" w:hAnsi="Times New Roman" w:hint="eastAsia"/>
          <w:kern w:val="0"/>
          <w:sz w:val="28"/>
          <w:szCs w:val="28"/>
        </w:rPr>
        <w:t>”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；</w:t>
      </w:r>
    </w:p>
    <w:p w:rsidR="001C7F1F" w:rsidRPr="00D10217" w:rsidRDefault="001C7F1F" w:rsidP="00807E47">
      <w:pPr>
        <w:numPr>
          <w:ilvl w:val="255"/>
          <w:numId w:val="0"/>
        </w:numPr>
        <w:spacing w:line="400" w:lineRule="exact"/>
        <w:ind w:leftChars="267" w:left="981" w:hangingChars="150" w:hanging="420"/>
        <w:rPr>
          <w:rFonts w:ascii="Times New Roman" w:hAnsi="Times New Roman"/>
        </w:rPr>
      </w:pPr>
      <w:r w:rsidRPr="00D10217">
        <w:rPr>
          <w:rFonts w:ascii="Times New Roman" w:eastAsia="方正仿宋_GBK" w:hAnsi="Times New Roman"/>
          <w:kern w:val="0"/>
          <w:sz w:val="28"/>
          <w:szCs w:val="28"/>
        </w:rPr>
        <w:t>3</w:t>
      </w:r>
      <w:r w:rsidRPr="00D10217">
        <w:rPr>
          <w:rFonts w:ascii="Times New Roman" w:eastAsia="方正仿宋_GBK" w:hAnsi="Times New Roman"/>
          <w:kern w:val="0"/>
          <w:sz w:val="28"/>
          <w:szCs w:val="28"/>
        </w:rPr>
        <w:t>、消耗及排放指标，绿色工厂要结合企业所在行业特点填写，如钢铁行业重点要填写对应国家限额标准中的烧结、球团、转炉、高炉、电炉工序单位能耗及吨钢耗新水等指标，无能耗标准的可根据行业特点，对照绿色工厂评价标准填写适合本行业的指标，或单位产值能耗、单位产值二氧化碳排放量等。</w:t>
      </w:r>
    </w:p>
    <w:p w:rsidR="001C7F1F" w:rsidRPr="00D10217" w:rsidRDefault="001C7F1F" w:rsidP="00303011">
      <w:pPr>
        <w:spacing w:line="400" w:lineRule="exact"/>
        <w:ind w:left="560"/>
        <w:rPr>
          <w:rFonts w:ascii="Times New Roman" w:eastAsia="方正仿宋_GBK" w:hAnsi="Times New Roman"/>
          <w:kern w:val="0"/>
          <w:sz w:val="28"/>
          <w:szCs w:val="28"/>
        </w:rPr>
      </w:pPr>
    </w:p>
    <w:p w:rsidR="00303011" w:rsidRPr="00D10217" w:rsidRDefault="00303011" w:rsidP="00303011">
      <w:pPr>
        <w:spacing w:line="400" w:lineRule="exact"/>
        <w:ind w:left="560"/>
        <w:rPr>
          <w:rFonts w:ascii="Times New Roman" w:eastAsia="方正仿宋_GBK" w:hAnsi="Times New Roman"/>
          <w:kern w:val="0"/>
          <w:sz w:val="28"/>
          <w:szCs w:val="28"/>
        </w:rPr>
      </w:pPr>
    </w:p>
    <w:p w:rsidR="001C7F1F" w:rsidRPr="00D10217" w:rsidRDefault="001C7F1F" w:rsidP="001C7F1F">
      <w:pPr>
        <w:spacing w:line="580" w:lineRule="exact"/>
        <w:rPr>
          <w:rFonts w:ascii="Times New Roman" w:eastAsia="方正黑体_GBK" w:hAnsi="Times New Roman"/>
          <w:sz w:val="32"/>
          <w:szCs w:val="32"/>
        </w:rPr>
      </w:pPr>
    </w:p>
    <w:p w:rsidR="001C7F1F" w:rsidRPr="00D10217" w:rsidRDefault="001C7F1F" w:rsidP="001C7F1F">
      <w:pPr>
        <w:spacing w:line="580" w:lineRule="exact"/>
        <w:rPr>
          <w:rFonts w:ascii="Times New Roman" w:eastAsia="方正黑体_GBK" w:hAnsi="Times New Roman" w:cs="方正仿宋_GBK"/>
          <w:sz w:val="32"/>
          <w:szCs w:val="32"/>
        </w:rPr>
      </w:pPr>
      <w:r w:rsidRPr="00D10217">
        <w:rPr>
          <w:rFonts w:ascii="Times New Roman" w:eastAsia="方正黑体_GBK" w:hAnsi="Times New Roman" w:cs="方正仿宋_GBK" w:hint="eastAsia"/>
          <w:sz w:val="32"/>
          <w:szCs w:val="32"/>
        </w:rPr>
        <w:lastRenderedPageBreak/>
        <w:t>附件</w:t>
      </w:r>
      <w:r w:rsidRPr="00D10217">
        <w:rPr>
          <w:rFonts w:ascii="Times New Roman" w:eastAsia="方正黑体_GBK" w:hAnsi="Times New Roman" w:cs="方正仿宋_GBK"/>
          <w:sz w:val="32"/>
          <w:szCs w:val="32"/>
        </w:rPr>
        <w:t>3</w:t>
      </w:r>
    </w:p>
    <w:p w:rsidR="001C7F1F" w:rsidRPr="00D10217" w:rsidRDefault="001C7F1F" w:rsidP="001C7F1F">
      <w:pPr>
        <w:spacing w:line="580" w:lineRule="exact"/>
        <w:jc w:val="center"/>
        <w:rPr>
          <w:rFonts w:ascii="Times New Roman" w:eastAsia="方正黑体_GBK" w:hAnsi="Times New Roman"/>
          <w:sz w:val="36"/>
          <w:szCs w:val="36"/>
        </w:rPr>
      </w:pPr>
    </w:p>
    <w:p w:rsidR="001C7F1F" w:rsidRPr="00D10217" w:rsidRDefault="00EB4CF8" w:rsidP="00AC09E3">
      <w:pPr>
        <w:spacing w:afterLines="50" w:after="156"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6"/>
          <w:szCs w:val="36"/>
        </w:rPr>
        <w:t>2023</w:t>
      </w:r>
      <w:bookmarkStart w:id="1" w:name="_GoBack"/>
      <w:bookmarkEnd w:id="1"/>
      <w:r w:rsidR="001C7F1F" w:rsidRPr="00D10217">
        <w:rPr>
          <w:rFonts w:ascii="Times New Roman" w:eastAsia="方正黑体_GBK" w:hAnsi="Times New Roman" w:hint="eastAsia"/>
          <w:sz w:val="36"/>
          <w:szCs w:val="36"/>
        </w:rPr>
        <w:t>年度绿色工厂培育计划汇总表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11"/>
        <w:gridCol w:w="2235"/>
        <w:gridCol w:w="1789"/>
        <w:gridCol w:w="1199"/>
        <w:gridCol w:w="1199"/>
        <w:gridCol w:w="3833"/>
        <w:gridCol w:w="3008"/>
      </w:tblGrid>
      <w:tr w:rsidR="001C7F1F" w:rsidRPr="00D10217" w:rsidTr="00807E47">
        <w:trPr>
          <w:trHeight w:val="1440"/>
        </w:trPr>
        <w:tc>
          <w:tcPr>
            <w:tcW w:w="321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序号</w:t>
            </w:r>
          </w:p>
        </w:tc>
        <w:tc>
          <w:tcPr>
            <w:tcW w:w="788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企业名称</w:t>
            </w:r>
          </w:p>
        </w:tc>
        <w:tc>
          <w:tcPr>
            <w:tcW w:w="631" w:type="pct"/>
            <w:vAlign w:val="center"/>
          </w:tcPr>
          <w:p w:rsidR="00807E47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所在市、县</w:t>
            </w:r>
          </w:p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（区、市）</w:t>
            </w:r>
          </w:p>
        </w:tc>
        <w:tc>
          <w:tcPr>
            <w:tcW w:w="423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所属</w:t>
            </w:r>
          </w:p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行业</w:t>
            </w:r>
          </w:p>
        </w:tc>
        <w:tc>
          <w:tcPr>
            <w:tcW w:w="423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主要</w:t>
            </w:r>
          </w:p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产品</w:t>
            </w:r>
          </w:p>
        </w:tc>
        <w:tc>
          <w:tcPr>
            <w:tcW w:w="1351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基础条件（企业简要情况和绿色制造方面的特色亮点及重要的资源消耗、排放指标等，不超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400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字）</w:t>
            </w:r>
          </w:p>
        </w:tc>
        <w:tc>
          <w:tcPr>
            <w:tcW w:w="1061" w:type="pct"/>
            <w:vAlign w:val="center"/>
          </w:tcPr>
          <w:p w:rsidR="001C7F1F" w:rsidRPr="00AC09E3" w:rsidRDefault="001C7F1F" w:rsidP="009F2D3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AC09E3">
              <w:rPr>
                <w:rFonts w:ascii="Times New Roman" w:eastAsia="方正黑体_GBK" w:hAnsi="Times New Roman" w:cs="Times New Roman"/>
                <w:sz w:val="24"/>
              </w:rPr>
              <w:t>绿色工厂建设的目标及措施（不超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400</w:t>
            </w:r>
            <w:r w:rsidRPr="00AC09E3">
              <w:rPr>
                <w:rFonts w:ascii="Times New Roman" w:eastAsia="方正黑体_GBK" w:hAnsi="Times New Roman" w:cs="Times New Roman"/>
                <w:sz w:val="24"/>
              </w:rPr>
              <w:t>字）</w:t>
            </w:r>
          </w:p>
        </w:tc>
      </w:tr>
      <w:tr w:rsidR="001C7F1F" w:rsidRPr="00D10217" w:rsidTr="00807E47">
        <w:trPr>
          <w:trHeight w:val="285"/>
        </w:trPr>
        <w:tc>
          <w:tcPr>
            <w:tcW w:w="32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788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63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35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06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</w:tr>
      <w:tr w:rsidR="001C7F1F" w:rsidRPr="00D10217" w:rsidTr="00807E47">
        <w:trPr>
          <w:trHeight w:val="285"/>
        </w:trPr>
        <w:tc>
          <w:tcPr>
            <w:tcW w:w="32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788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63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35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06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</w:tr>
      <w:tr w:rsidR="001C7F1F" w:rsidRPr="00D10217" w:rsidTr="00807E47">
        <w:trPr>
          <w:trHeight w:val="285"/>
        </w:trPr>
        <w:tc>
          <w:tcPr>
            <w:tcW w:w="32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788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63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35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06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</w:tr>
      <w:tr w:rsidR="001C7F1F" w:rsidRPr="00D10217" w:rsidTr="00807E47">
        <w:trPr>
          <w:trHeight w:val="285"/>
        </w:trPr>
        <w:tc>
          <w:tcPr>
            <w:tcW w:w="32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788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63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423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35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  <w:tc>
          <w:tcPr>
            <w:tcW w:w="1061" w:type="pct"/>
            <w:noWrap/>
          </w:tcPr>
          <w:p w:rsidR="001C7F1F" w:rsidRPr="00D10217" w:rsidRDefault="001C7F1F" w:rsidP="000658D8">
            <w:pPr>
              <w:jc w:val="center"/>
              <w:rPr>
                <w:rFonts w:ascii="Times New Roman" w:eastAsia="等线" w:hAnsi="Times New Roman"/>
                <w:sz w:val="32"/>
                <w:szCs w:val="32"/>
              </w:rPr>
            </w:pPr>
          </w:p>
        </w:tc>
      </w:tr>
    </w:tbl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7E47" w:rsidRDefault="00807E47" w:rsidP="0017382E">
      <w:pPr>
        <w:rPr>
          <w:rFonts w:ascii="Times New Roman" w:hAnsi="Times New Roman" w:cs="Times New Roman"/>
        </w:rPr>
        <w:sectPr w:rsidR="00807E47" w:rsidSect="001C7F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C7F1F" w:rsidRDefault="001C7F1F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p w:rsidR="00807E47" w:rsidRDefault="00807E47" w:rsidP="006E55A3">
      <w:pPr>
        <w:spacing w:afterLines="50" w:after="156"/>
        <w:rPr>
          <w:rFonts w:ascii="Times New Roman" w:hAnsi="Times New Roman" w:cs="Times New Roman"/>
        </w:rPr>
      </w:pPr>
    </w:p>
    <w:p w:rsidR="00807E47" w:rsidRDefault="00807E47" w:rsidP="0017382E">
      <w:pPr>
        <w:rPr>
          <w:rFonts w:ascii="Times New Roman" w:hAnsi="Times New Roman" w:cs="Times New Roman"/>
        </w:rPr>
      </w:pPr>
    </w:p>
    <w:tbl>
      <w:tblPr>
        <w:tblStyle w:val="a9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07E47" w:rsidTr="00487D00">
        <w:tc>
          <w:tcPr>
            <w:tcW w:w="5000" w:type="pct"/>
          </w:tcPr>
          <w:p w:rsidR="00807E47" w:rsidRPr="00487D00" w:rsidRDefault="00807E47" w:rsidP="00487D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江苏省工业和信息化厅</w:t>
            </w:r>
            <w:r w:rsidRPr="00487D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   </w:t>
            </w:r>
            <w:r w:rsidR="00487D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</w:t>
            </w:r>
            <w:r w:rsidRPr="00487D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</w:t>
            </w:r>
            <w:r w:rsidR="000658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487D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    </w:t>
            </w: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2023</w:t>
            </w: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17</w:t>
            </w:r>
            <w:r w:rsidRPr="00487D00">
              <w:rPr>
                <w:rFonts w:ascii="Times New Roman" w:eastAsia="方正仿宋_GBK" w:hAnsi="Times New Roman" w:cs="Times New Roman"/>
                <w:sz w:val="28"/>
                <w:szCs w:val="28"/>
              </w:rPr>
              <w:t>日印发</w:t>
            </w:r>
          </w:p>
        </w:tc>
      </w:tr>
    </w:tbl>
    <w:p w:rsidR="00807E47" w:rsidRPr="00D10217" w:rsidRDefault="00807E47" w:rsidP="00992CDA">
      <w:pPr>
        <w:adjustRightInd w:val="0"/>
        <w:snapToGrid w:val="0"/>
        <w:spacing w:line="20" w:lineRule="exact"/>
        <w:rPr>
          <w:rFonts w:ascii="Times New Roman" w:hAnsi="Times New Roman" w:cs="Times New Roman"/>
        </w:rPr>
      </w:pPr>
    </w:p>
    <w:sectPr w:rsidR="00807E47" w:rsidRPr="00D10217" w:rsidSect="00807E47"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DB" w:rsidRDefault="002640DB" w:rsidP="00E77C1B">
      <w:r>
        <w:separator/>
      </w:r>
    </w:p>
  </w:endnote>
  <w:endnote w:type="continuationSeparator" w:id="0">
    <w:p w:rsidR="002640DB" w:rsidRDefault="002640DB" w:rsidP="00E7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933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7E47" w:rsidRPr="00807E47" w:rsidRDefault="00807E4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7E47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07E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7E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7E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4CF8" w:rsidRPr="00EB4CF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17</w:t>
        </w:r>
        <w:r w:rsidRPr="00807E4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07E47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DB" w:rsidRDefault="002640DB" w:rsidP="00E77C1B">
      <w:r>
        <w:separator/>
      </w:r>
    </w:p>
  </w:footnote>
  <w:footnote w:type="continuationSeparator" w:id="0">
    <w:p w:rsidR="002640DB" w:rsidRDefault="002640DB" w:rsidP="00E7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9C53C5"/>
    <w:multiLevelType w:val="singleLevel"/>
    <w:tmpl w:val="939C53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77E5"/>
    <w:rsid w:val="00050145"/>
    <w:rsid w:val="000658D8"/>
    <w:rsid w:val="000F0500"/>
    <w:rsid w:val="000F1FF1"/>
    <w:rsid w:val="001000A1"/>
    <w:rsid w:val="0010557A"/>
    <w:rsid w:val="0014671C"/>
    <w:rsid w:val="0017382E"/>
    <w:rsid w:val="001C7F1F"/>
    <w:rsid w:val="00246C11"/>
    <w:rsid w:val="002640DB"/>
    <w:rsid w:val="002C2DD2"/>
    <w:rsid w:val="00303011"/>
    <w:rsid w:val="003229CF"/>
    <w:rsid w:val="00374BCD"/>
    <w:rsid w:val="003818D0"/>
    <w:rsid w:val="00395EBA"/>
    <w:rsid w:val="00413627"/>
    <w:rsid w:val="00487D00"/>
    <w:rsid w:val="004B1958"/>
    <w:rsid w:val="005120F5"/>
    <w:rsid w:val="005347F1"/>
    <w:rsid w:val="00555418"/>
    <w:rsid w:val="00567E13"/>
    <w:rsid w:val="005951E1"/>
    <w:rsid w:val="005D2EDA"/>
    <w:rsid w:val="00664F22"/>
    <w:rsid w:val="006C4FA3"/>
    <w:rsid w:val="006E55A3"/>
    <w:rsid w:val="00773AB0"/>
    <w:rsid w:val="007A1719"/>
    <w:rsid w:val="007A389B"/>
    <w:rsid w:val="007B712C"/>
    <w:rsid w:val="007D66D0"/>
    <w:rsid w:val="00804914"/>
    <w:rsid w:val="00807E47"/>
    <w:rsid w:val="008602DF"/>
    <w:rsid w:val="008D127A"/>
    <w:rsid w:val="00925C0E"/>
    <w:rsid w:val="00992CDA"/>
    <w:rsid w:val="009A4070"/>
    <w:rsid w:val="009F2D3F"/>
    <w:rsid w:val="00A0620B"/>
    <w:rsid w:val="00A420BB"/>
    <w:rsid w:val="00A9204F"/>
    <w:rsid w:val="00AC09E3"/>
    <w:rsid w:val="00B005A4"/>
    <w:rsid w:val="00B96DDB"/>
    <w:rsid w:val="00BC7B7B"/>
    <w:rsid w:val="00D03EC9"/>
    <w:rsid w:val="00D10217"/>
    <w:rsid w:val="00D818E8"/>
    <w:rsid w:val="00DF400D"/>
    <w:rsid w:val="00E22D4C"/>
    <w:rsid w:val="00E77C1B"/>
    <w:rsid w:val="00EB4CF8"/>
    <w:rsid w:val="00EC08C0"/>
    <w:rsid w:val="00EC097D"/>
    <w:rsid w:val="00EF7EC8"/>
    <w:rsid w:val="00F3555F"/>
    <w:rsid w:val="00F7533F"/>
    <w:rsid w:val="00F81A17"/>
    <w:rsid w:val="00FF73DF"/>
    <w:rsid w:val="095F24B0"/>
    <w:rsid w:val="3A2077E5"/>
    <w:rsid w:val="4B80692D"/>
    <w:rsid w:val="77B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133F51-768D-41AD-8214-10A08AB7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header"/>
    <w:basedOn w:val="a"/>
    <w:link w:val="Char"/>
    <w:rsid w:val="00E7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qFormat/>
    <w:rsid w:val="00E77C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7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7C1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rsid w:val="0010557A"/>
    <w:rPr>
      <w:color w:val="800080"/>
      <w:u w:val="single"/>
    </w:rPr>
  </w:style>
  <w:style w:type="paragraph" w:customStyle="1" w:styleId="font5">
    <w:name w:val="font5"/>
    <w:basedOn w:val="a"/>
    <w:rsid w:val="0010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0557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10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0">
    <w:name w:val="xl70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3">
    <w:name w:val="xl73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5">
    <w:name w:val="xl75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7">
    <w:name w:val="xl77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1">
    <w:name w:val="xl81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styleId="a8">
    <w:name w:val="Balloon Text"/>
    <w:basedOn w:val="a"/>
    <w:link w:val="Char1"/>
    <w:rsid w:val="00413627"/>
    <w:rPr>
      <w:sz w:val="18"/>
      <w:szCs w:val="18"/>
    </w:rPr>
  </w:style>
  <w:style w:type="character" w:customStyle="1" w:styleId="Char1">
    <w:name w:val="批注框文本 Char"/>
    <w:basedOn w:val="a0"/>
    <w:link w:val="a8"/>
    <w:rsid w:val="0041362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39"/>
    <w:qFormat/>
    <w:rsid w:val="001C7F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7A1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3">
    <w:name w:val="xl83"/>
    <w:basedOn w:val="a"/>
    <w:rsid w:val="007A1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1549</Words>
  <Characters>8831</Characters>
  <Application>Microsoft Office Word</Application>
  <DocSecurity>0</DocSecurity>
  <Lines>73</Lines>
  <Paragraphs>20</Paragraphs>
  <ScaleCrop>false</ScaleCrop>
  <Company>Microsoft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NewingLake</dc:creator>
  <cp:lastModifiedBy>lenovo</cp:lastModifiedBy>
  <cp:revision>17</cp:revision>
  <cp:lastPrinted>2023-01-09T07:46:00Z</cp:lastPrinted>
  <dcterms:created xsi:type="dcterms:W3CDTF">2023-01-16T01:26:00Z</dcterms:created>
  <dcterms:modified xsi:type="dcterms:W3CDTF">2023-01-19T01:00:00Z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